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466725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UNITED STATES</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27" w:lineRule="exact"/>
        <w:rPr>
          <w:sz w:val="24"/>
          <w:szCs w:val="24"/>
          <w:color w:val="auto"/>
        </w:rPr>
      </w:pPr>
    </w:p>
    <w:p>
      <w:pPr>
        <w:ind w:left="4140"/>
        <w:spacing w:after="0"/>
        <w:rPr>
          <w:sz w:val="20"/>
          <w:szCs w:val="20"/>
          <w:color w:val="auto"/>
        </w:rPr>
      </w:pPr>
      <w:r>
        <w:rPr>
          <w:rFonts w:ascii="Arial" w:cs="Arial" w:eastAsia="Arial" w:hAnsi="Arial"/>
          <w:sz w:val="15"/>
          <w:szCs w:val="15"/>
          <w:color w:val="auto"/>
        </w:rPr>
        <w:t>___________________________________</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FORM 10-Q</w:t>
      </w:r>
    </w:p>
    <w:p>
      <w:pPr>
        <w:spacing w:after="0" w:line="125" w:lineRule="exact"/>
        <w:rPr>
          <w:sz w:val="24"/>
          <w:szCs w:val="24"/>
          <w:color w:val="auto"/>
        </w:rPr>
      </w:pPr>
    </w:p>
    <w:p>
      <w:pPr>
        <w:ind w:left="80"/>
        <w:spacing w:after="0"/>
        <w:rPr>
          <w:sz w:val="20"/>
          <w:szCs w:val="20"/>
          <w:color w:val="auto"/>
        </w:rPr>
      </w:pPr>
      <w:r>
        <w:rPr>
          <w:rFonts w:ascii="Arial" w:cs="Arial" w:eastAsia="Arial" w:hAnsi="Arial"/>
          <w:sz w:val="15"/>
          <w:szCs w:val="15"/>
          <w:b w:val="1"/>
          <w:bCs w:val="1"/>
          <w:color w:val="auto"/>
        </w:rPr>
        <w:t>(Mark One)</w:t>
      </w:r>
    </w:p>
    <w:p>
      <w:pPr>
        <w:spacing w:after="0" w:line="138" w:lineRule="exact"/>
        <w:rPr>
          <w:sz w:val="24"/>
          <w:szCs w:val="24"/>
          <w:color w:val="auto"/>
        </w:rPr>
      </w:pPr>
    </w:p>
    <w:p>
      <w:pPr>
        <w:ind w:left="360"/>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5" w:lineRule="exact"/>
        <w:rPr>
          <w:sz w:val="24"/>
          <w:szCs w:val="24"/>
          <w:color w:val="auto"/>
        </w:rPr>
      </w:pPr>
    </w:p>
    <w:p>
      <w:pPr>
        <w:ind w:left="100"/>
        <w:spacing w:after="0" w:line="151" w:lineRule="exact"/>
        <w:rPr>
          <w:sz w:val="20"/>
          <w:szCs w:val="20"/>
          <w:color w:val="auto"/>
        </w:rPr>
      </w:pPr>
      <w:r>
        <w:rPr>
          <w:rFonts w:ascii="MS PGothic" w:cs="MS PGothic" w:eastAsia="MS PGothic" w:hAnsi="MS PGothic"/>
          <w:sz w:val="15"/>
          <w:szCs w:val="15"/>
          <w:color w:val="auto"/>
        </w:rPr>
        <w:t>☒</w:t>
      </w:r>
    </w:p>
    <w:p>
      <w:pPr>
        <w:spacing w:after="0" w:line="14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For the three months ended September 30, 2026</w:t>
      </w:r>
    </w:p>
    <w:p>
      <w:pPr>
        <w:spacing w:after="0" w:line="57" w:lineRule="exact"/>
        <w:rPr>
          <w:sz w:val="24"/>
          <w:szCs w:val="24"/>
          <w:color w:val="auto"/>
        </w:rPr>
      </w:pPr>
    </w:p>
    <w:p>
      <w:pPr>
        <w:ind w:left="3900"/>
        <w:spacing w:after="0"/>
        <w:rPr>
          <w:sz w:val="20"/>
          <w:szCs w:val="20"/>
          <w:color w:val="auto"/>
        </w:rPr>
      </w:pPr>
      <w:r>
        <w:rPr>
          <w:rFonts w:ascii="Arial" w:cs="Arial" w:eastAsia="Arial" w:hAnsi="Arial"/>
          <w:sz w:val="15"/>
          <w:szCs w:val="15"/>
          <w:b w:val="1"/>
          <w:bCs w:val="1"/>
          <w:color w:val="auto"/>
        </w:rPr>
        <w:t>OR</w:t>
      </w:r>
    </w:p>
    <w:p>
      <w:pPr>
        <w:spacing w:after="0" w:line="179" w:lineRule="exact"/>
        <w:rPr>
          <w:sz w:val="24"/>
          <w:szCs w:val="24"/>
          <w:color w:val="auto"/>
        </w:rPr>
      </w:pPr>
    </w:p>
    <w:p>
      <w:pPr>
        <w:ind w:left="380" w:hanging="264"/>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2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For the transition period from  to</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001-35618</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LegalZoom.com, Inc.</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73" w:lineRule="exact"/>
        <w:rPr>
          <w:sz w:val="24"/>
          <w:szCs w:val="24"/>
          <w:color w:val="auto"/>
        </w:rPr>
      </w:pPr>
    </w:p>
    <w:tbl>
      <w:tblPr>
        <w:tblLayout w:type="fixed"/>
        <w:tblInd w:w="1820" w:type="dxa"/>
        <w:tblCellMar>
          <w:top w:w="0" w:type="dxa"/>
          <w:left w:w="0" w:type="dxa"/>
          <w:bottom w:w="0" w:type="dxa"/>
          <w:right w:w="0" w:type="dxa"/>
        </w:tblCellMar>
      </w:tblPr>
      <w:tr>
        <w:trPr>
          <w:trHeight w:val="200"/>
        </w:trPr>
        <w:tc>
          <w:tcPr>
            <w:tcW w:w="2160" w:type="dxa"/>
            <w:vAlign w:val="bottom"/>
          </w:tcPr>
          <w:p>
            <w:pPr>
              <w:spacing w:after="0"/>
              <w:rPr>
                <w:sz w:val="17"/>
                <w:szCs w:val="17"/>
                <w:color w:val="auto"/>
              </w:rPr>
            </w:pPr>
          </w:p>
        </w:tc>
        <w:tc>
          <w:tcPr>
            <w:tcW w:w="5620" w:type="dxa"/>
            <w:vAlign w:val="bottom"/>
          </w:tcPr>
          <w:p>
            <w:pPr>
              <w:jc w:val="right"/>
              <w:ind w:right="2404"/>
              <w:spacing w:after="0"/>
              <w:rPr>
                <w:sz w:val="20"/>
                <w:szCs w:val="20"/>
                <w:color w:val="auto"/>
              </w:rPr>
            </w:pPr>
            <w:r>
              <w:rPr>
                <w:rFonts w:ascii="Arial" w:cs="Arial" w:eastAsia="Arial" w:hAnsi="Arial"/>
                <w:sz w:val="15"/>
                <w:szCs w:val="15"/>
                <w:color w:val="auto"/>
              </w:rPr>
              <w:t>___________________________________</w:t>
            </w:r>
          </w:p>
        </w:tc>
        <w:tc>
          <w:tcPr>
            <w:tcW w:w="0" w:type="dxa"/>
            <w:vAlign w:val="bottom"/>
          </w:tcPr>
          <w:p>
            <w:pPr>
              <w:spacing w:after="0"/>
              <w:rPr>
                <w:sz w:val="1"/>
                <w:szCs w:val="1"/>
                <w:color w:val="auto"/>
              </w:rPr>
            </w:pPr>
          </w:p>
        </w:tc>
      </w:tr>
      <w:tr>
        <w:trPr>
          <w:trHeight w:val="359"/>
        </w:trPr>
        <w:tc>
          <w:tcPr>
            <w:tcW w:w="2160" w:type="dxa"/>
            <w:vAlign w:val="bottom"/>
          </w:tcPr>
          <w:p>
            <w:pPr>
              <w:jc w:val="center"/>
              <w:ind w:right="84"/>
              <w:spacing w:after="0"/>
              <w:rPr>
                <w:sz w:val="20"/>
                <w:szCs w:val="20"/>
                <w:color w:val="auto"/>
              </w:rPr>
            </w:pPr>
            <w:r>
              <w:rPr>
                <w:rFonts w:ascii="Arial" w:cs="Arial" w:eastAsia="Arial" w:hAnsi="Arial"/>
                <w:sz w:val="15"/>
                <w:szCs w:val="15"/>
                <w:b w:val="1"/>
                <w:bCs w:val="1"/>
                <w:color w:val="auto"/>
              </w:rPr>
              <w:t>Delaware</w:t>
            </w:r>
          </w:p>
        </w:tc>
        <w:tc>
          <w:tcPr>
            <w:tcW w:w="5620" w:type="dxa"/>
            <w:vAlign w:val="bottom"/>
          </w:tcPr>
          <w:p>
            <w:pPr>
              <w:jc w:val="right"/>
              <w:ind w:right="684"/>
              <w:spacing w:after="0"/>
              <w:rPr>
                <w:sz w:val="20"/>
                <w:szCs w:val="20"/>
                <w:color w:val="auto"/>
              </w:rPr>
            </w:pPr>
            <w:r>
              <w:rPr>
                <w:rFonts w:ascii="Arial" w:cs="Arial" w:eastAsia="Arial" w:hAnsi="Arial"/>
                <w:sz w:val="15"/>
                <w:szCs w:val="15"/>
                <w:b w:val="1"/>
                <w:bCs w:val="1"/>
                <w:color w:val="auto"/>
              </w:rPr>
              <w:t>95-4752856</w:t>
            </w:r>
          </w:p>
        </w:tc>
        <w:tc>
          <w:tcPr>
            <w:tcW w:w="0" w:type="dxa"/>
            <w:vAlign w:val="bottom"/>
          </w:tcPr>
          <w:p>
            <w:pPr>
              <w:spacing w:after="0"/>
              <w:rPr>
                <w:sz w:val="1"/>
                <w:szCs w:val="1"/>
                <w:color w:val="auto"/>
              </w:rPr>
            </w:pPr>
          </w:p>
        </w:tc>
      </w:tr>
      <w:tr>
        <w:trPr>
          <w:trHeight w:val="303"/>
        </w:trPr>
        <w:tc>
          <w:tcPr>
            <w:tcW w:w="2160" w:type="dxa"/>
            <w:vAlign w:val="bottom"/>
          </w:tcPr>
          <w:p>
            <w:pPr>
              <w:jc w:val="center"/>
              <w:ind w:right="84"/>
              <w:spacing w:after="0"/>
              <w:rPr>
                <w:sz w:val="20"/>
                <w:szCs w:val="20"/>
                <w:color w:val="auto"/>
              </w:rPr>
            </w:pPr>
            <w:r>
              <w:rPr>
                <w:rFonts w:ascii="Arial" w:cs="Arial" w:eastAsia="Arial" w:hAnsi="Arial"/>
                <w:sz w:val="15"/>
                <w:szCs w:val="15"/>
                <w:color w:val="auto"/>
              </w:rPr>
              <w:t>(State or other jurisdiction of</w:t>
            </w:r>
          </w:p>
        </w:tc>
        <w:tc>
          <w:tcPr>
            <w:tcW w:w="5620" w:type="dxa"/>
            <w:vAlign w:val="bottom"/>
            <w:vMerge w:val="restart"/>
          </w:tcPr>
          <w:p>
            <w:pPr>
              <w:jc w:val="center"/>
              <w:ind w:left="3204"/>
              <w:spacing w:after="0"/>
              <w:rPr>
                <w:sz w:val="20"/>
                <w:szCs w:val="20"/>
                <w:color w:val="auto"/>
              </w:rPr>
            </w:pPr>
            <w:r>
              <w:rPr>
                <w:rFonts w:ascii="Arial" w:cs="Arial" w:eastAsia="Arial" w:hAnsi="Arial"/>
                <w:sz w:val="15"/>
                <w:szCs w:val="15"/>
                <w:color w:val="auto"/>
              </w:rPr>
              <w:t>(I.R.S. Employer Identification No.)</w:t>
            </w:r>
          </w:p>
        </w:tc>
        <w:tc>
          <w:tcPr>
            <w:tcW w:w="0" w:type="dxa"/>
            <w:vAlign w:val="bottom"/>
          </w:tcPr>
          <w:p>
            <w:pPr>
              <w:spacing w:after="0"/>
              <w:rPr>
                <w:sz w:val="1"/>
                <w:szCs w:val="1"/>
                <w:color w:val="auto"/>
              </w:rPr>
            </w:pPr>
          </w:p>
        </w:tc>
      </w:tr>
      <w:tr>
        <w:trPr>
          <w:trHeight w:val="108"/>
        </w:trPr>
        <w:tc>
          <w:tcPr>
            <w:tcW w:w="2160" w:type="dxa"/>
            <w:vAlign w:val="bottom"/>
            <w:vMerge w:val="restart"/>
          </w:tcPr>
          <w:p>
            <w:pPr>
              <w:jc w:val="center"/>
              <w:ind w:right="84"/>
              <w:spacing w:after="0"/>
              <w:rPr>
                <w:sz w:val="20"/>
                <w:szCs w:val="20"/>
                <w:color w:val="auto"/>
              </w:rPr>
            </w:pPr>
            <w:r>
              <w:rPr>
                <w:rFonts w:ascii="Arial" w:cs="Arial" w:eastAsia="Arial" w:hAnsi="Arial"/>
                <w:sz w:val="15"/>
                <w:szCs w:val="15"/>
                <w:color w:val="auto"/>
              </w:rPr>
              <w:t>incorporation or organization)</w:t>
            </w:r>
          </w:p>
        </w:tc>
        <w:tc>
          <w:tcPr>
            <w:tcW w:w="5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60" w:type="dxa"/>
            <w:vAlign w:val="bottom"/>
            <w:vMerge w:val="continue"/>
          </w:tcPr>
          <w:p>
            <w:pPr>
              <w:spacing w:after="0"/>
              <w:rPr>
                <w:sz w:val="9"/>
                <w:szCs w:val="9"/>
                <w:color w:val="auto"/>
              </w:rPr>
            </w:pPr>
          </w:p>
        </w:tc>
        <w:tc>
          <w:tcPr>
            <w:tcW w:w="5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954 Villa Street,</w:t>
      </w:r>
    </w:p>
    <w:p>
      <w:pPr>
        <w:jc w:val="center"/>
        <w:spacing w:after="0"/>
        <w:rPr>
          <w:sz w:val="20"/>
          <w:szCs w:val="20"/>
          <w:color w:val="auto"/>
        </w:rPr>
      </w:pPr>
      <w:r>
        <w:rPr>
          <w:rFonts w:ascii="Arial" w:cs="Arial" w:eastAsia="Arial" w:hAnsi="Arial"/>
          <w:sz w:val="15"/>
          <w:szCs w:val="15"/>
          <w:b w:val="1"/>
          <w:bCs w:val="1"/>
          <w:color w:val="auto"/>
        </w:rPr>
        <w:t>Mountain View, California 94041</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(323) 962-8600</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44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46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300"/>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Title of each class</w:t>
            </w:r>
          </w:p>
        </w:tc>
        <w:tc>
          <w:tcPr>
            <w:tcW w:w="246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color w:val="auto"/>
              </w:rPr>
              <w:t>Trading Symbol(s)</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Name of each exchange on which registered</w:t>
            </w:r>
          </w:p>
        </w:tc>
      </w:tr>
      <w:tr>
        <w:trPr>
          <w:trHeight w:val="197"/>
        </w:trPr>
        <w:tc>
          <w:tcPr>
            <w:tcW w:w="4440" w:type="dxa"/>
            <w:vAlign w:val="bottom"/>
          </w:tcPr>
          <w:p>
            <w:pPr>
              <w:jc w:val="center"/>
              <w:spacing w:after="0"/>
              <w:rPr>
                <w:sz w:val="20"/>
                <w:szCs w:val="20"/>
                <w:color w:val="auto"/>
              </w:rPr>
            </w:pPr>
            <w:r>
              <w:rPr>
                <w:rFonts w:ascii="Arial" w:cs="Arial" w:eastAsia="Arial" w:hAnsi="Arial"/>
                <w:sz w:val="15"/>
                <w:szCs w:val="15"/>
                <w:color w:val="auto"/>
              </w:rPr>
              <w:t>Common Stock, par value $0.001 per share</w:t>
            </w:r>
          </w:p>
        </w:tc>
        <w:tc>
          <w:tcPr>
            <w:tcW w:w="2460" w:type="dxa"/>
            <w:vAlign w:val="bottom"/>
          </w:tcPr>
          <w:p>
            <w:pPr>
              <w:jc w:val="center"/>
              <w:ind w:right="4"/>
              <w:spacing w:after="0"/>
              <w:rPr>
                <w:sz w:val="20"/>
                <w:szCs w:val="20"/>
                <w:color w:val="auto"/>
              </w:rPr>
            </w:pPr>
            <w:r>
              <w:rPr>
                <w:rFonts w:ascii="Arial" w:cs="Arial" w:eastAsia="Arial" w:hAnsi="Arial"/>
                <w:sz w:val="15"/>
                <w:szCs w:val="15"/>
                <w:color w:val="auto"/>
              </w:rPr>
              <w:t>LZ</w:t>
            </w:r>
          </w:p>
        </w:tc>
        <w:tc>
          <w:tcPr>
            <w:tcW w:w="4340" w:type="dxa"/>
            <w:vAlign w:val="bottom"/>
          </w:tcPr>
          <w:p>
            <w:pPr>
              <w:jc w:val="center"/>
              <w:spacing w:after="0"/>
              <w:rPr>
                <w:sz w:val="20"/>
                <w:szCs w:val="20"/>
                <w:color w:val="auto"/>
              </w:rPr>
            </w:pPr>
            <w:r>
              <w:rPr>
                <w:rFonts w:ascii="Arial" w:cs="Arial" w:eastAsia="Arial" w:hAnsi="Arial"/>
                <w:sz w:val="15"/>
                <w:szCs w:val="15"/>
                <w:color w:val="auto"/>
              </w:rPr>
              <w:t>The Nasdaq Global Select Market</w:t>
            </w:r>
          </w:p>
        </w:tc>
      </w:tr>
    </w:tbl>
    <w:p>
      <w:pPr>
        <w:spacing w:after="0" w:line="187" w:lineRule="exact"/>
        <w:rPr>
          <w:sz w:val="24"/>
          <w:szCs w:val="24"/>
          <w:color w:val="auto"/>
        </w:rPr>
      </w:pPr>
    </w:p>
    <w:p>
      <w:pPr>
        <w:ind w:right="100"/>
        <w:spacing w:after="0" w:line="19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5"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w:t>
      </w:r>
    </w:p>
    <w:p>
      <w:pPr>
        <w:spacing w:after="0" w:line="13" w:lineRule="exact"/>
        <w:rPr>
          <w:sz w:val="24"/>
          <w:szCs w:val="24"/>
          <w:color w:val="auto"/>
        </w:rPr>
      </w:pPr>
    </w:p>
    <w:p>
      <w:pPr>
        <w:spacing w:after="0" w:line="173" w:lineRule="exact"/>
        <w:tabs>
          <w:tab w:leader="none" w:pos="10040" w:val="left"/>
        </w:tabs>
        <w:rPr>
          <w:sz w:val="20"/>
          <w:szCs w:val="20"/>
          <w:color w:val="auto"/>
        </w:rPr>
      </w:pPr>
      <w:r>
        <w:rPr>
          <w:rFonts w:ascii="Arial" w:cs="Arial" w:eastAsia="Arial" w:hAnsi="Arial"/>
          <w:sz w:val="15"/>
          <w:szCs w:val="15"/>
          <w:color w:val="auto"/>
        </w:rPr>
        <w:t>(§232.405 of this chapter) during the preceding 12 months (or for such shorter period that the registrant was required to submit such files).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jc w:val="both"/>
        <w:spacing w:after="0" w:line="28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258"/>
        </w:trPr>
        <w:tc>
          <w:tcPr>
            <w:tcW w:w="23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40" w:type="dxa"/>
            <w:vAlign w:val="bottom"/>
          </w:tcPr>
          <w:p>
            <w:pPr>
              <w:ind w:left="840"/>
              <w:spacing w:after="0" w:line="151" w:lineRule="exact"/>
              <w:rPr>
                <w:sz w:val="20"/>
                <w:szCs w:val="20"/>
                <w:color w:val="auto"/>
              </w:rPr>
            </w:pPr>
            <w:r>
              <w:rPr>
                <w:rFonts w:ascii="MS PGothic" w:cs="MS PGothic" w:eastAsia="MS PGothic" w:hAnsi="MS PGothic"/>
                <w:sz w:val="15"/>
                <w:szCs w:val="15"/>
                <w:color w:val="auto"/>
              </w:rPr>
              <w:t>☒</w:t>
            </w:r>
          </w:p>
        </w:tc>
        <w:tc>
          <w:tcPr>
            <w:tcW w:w="4640" w:type="dxa"/>
            <w:vAlign w:val="bottom"/>
          </w:tcPr>
          <w:p>
            <w:pPr>
              <w:ind w:left="2180"/>
              <w:spacing w:after="0"/>
              <w:rPr>
                <w:sz w:val="20"/>
                <w:szCs w:val="20"/>
                <w:color w:val="auto"/>
              </w:rPr>
            </w:pPr>
            <w:r>
              <w:rPr>
                <w:rFonts w:ascii="Arial" w:cs="Arial" w:eastAsia="Arial" w:hAnsi="Arial"/>
                <w:sz w:val="15"/>
                <w:szCs w:val="15"/>
                <w:color w:val="auto"/>
              </w:rPr>
              <w:t>Accelerated filer</w:t>
            </w:r>
          </w:p>
        </w:tc>
        <w:tc>
          <w:tcPr>
            <w:tcW w:w="740" w:type="dxa"/>
            <w:vAlign w:val="bottom"/>
          </w:tcPr>
          <w:p>
            <w:pPr>
              <w:ind w:left="660"/>
              <w:spacing w:after="0"/>
              <w:rPr>
                <w:sz w:val="20"/>
                <w:szCs w:val="20"/>
                <w:color w:val="auto"/>
              </w:rPr>
            </w:pPr>
            <w:r>
              <w:rPr>
                <w:rFonts w:ascii="Arial" w:cs="Arial" w:eastAsia="Arial" w:hAnsi="Arial"/>
                <w:sz w:val="15"/>
                <w:szCs w:val="15"/>
                <w:color w:val="auto"/>
                <w:w w:val="71"/>
              </w:rPr>
              <w:t>o</w:t>
            </w:r>
          </w:p>
        </w:tc>
      </w:tr>
      <w:tr>
        <w:trPr>
          <w:trHeight w:val="262"/>
        </w:trPr>
        <w:tc>
          <w:tcPr>
            <w:tcW w:w="2340" w:type="dxa"/>
            <w:vAlign w:val="bottom"/>
          </w:tcPr>
          <w:p>
            <w:pPr>
              <w:spacing w:after="0"/>
              <w:rPr>
                <w:sz w:val="20"/>
                <w:szCs w:val="20"/>
                <w:color w:val="auto"/>
              </w:rPr>
            </w:pPr>
            <w:r>
              <w:rPr>
                <w:rFonts w:ascii="Arial" w:cs="Arial" w:eastAsia="Arial" w:hAnsi="Arial"/>
                <w:sz w:val="15"/>
                <w:szCs w:val="15"/>
                <w:color w:val="auto"/>
              </w:rPr>
              <w:t>Non-accelerated filer</w:t>
            </w:r>
          </w:p>
        </w:tc>
        <w:tc>
          <w:tcPr>
            <w:tcW w:w="3140" w:type="dxa"/>
            <w:vAlign w:val="bottom"/>
          </w:tcPr>
          <w:p>
            <w:pPr>
              <w:ind w:left="840"/>
              <w:spacing w:after="0"/>
              <w:rPr>
                <w:sz w:val="20"/>
                <w:szCs w:val="20"/>
                <w:color w:val="auto"/>
              </w:rPr>
            </w:pPr>
            <w:r>
              <w:rPr>
                <w:rFonts w:ascii="Arial" w:cs="Arial" w:eastAsia="Arial" w:hAnsi="Arial"/>
                <w:sz w:val="15"/>
                <w:szCs w:val="15"/>
                <w:color w:val="auto"/>
              </w:rPr>
              <w:t>o</w:t>
            </w:r>
          </w:p>
        </w:tc>
        <w:tc>
          <w:tcPr>
            <w:tcW w:w="4640" w:type="dxa"/>
            <w:vAlign w:val="bottom"/>
          </w:tcPr>
          <w:p>
            <w:pPr>
              <w:ind w:left="2180"/>
              <w:spacing w:after="0"/>
              <w:rPr>
                <w:sz w:val="20"/>
                <w:szCs w:val="20"/>
                <w:color w:val="auto"/>
              </w:rPr>
            </w:pPr>
            <w:r>
              <w:rPr>
                <w:rFonts w:ascii="Arial" w:cs="Arial" w:eastAsia="Arial" w:hAnsi="Arial"/>
                <w:sz w:val="15"/>
                <w:szCs w:val="15"/>
                <w:color w:val="auto"/>
              </w:rPr>
              <w:t>Smaller reporting company</w:t>
            </w:r>
          </w:p>
        </w:tc>
        <w:tc>
          <w:tcPr>
            <w:tcW w:w="740" w:type="dxa"/>
            <w:vAlign w:val="bottom"/>
          </w:tcPr>
          <w:p>
            <w:pPr>
              <w:ind w:left="660"/>
              <w:spacing w:after="0"/>
              <w:rPr>
                <w:sz w:val="20"/>
                <w:szCs w:val="20"/>
                <w:color w:val="auto"/>
              </w:rPr>
            </w:pPr>
            <w:r>
              <w:rPr>
                <w:rFonts w:ascii="Arial" w:cs="Arial" w:eastAsia="Arial" w:hAnsi="Arial"/>
                <w:sz w:val="15"/>
                <w:szCs w:val="15"/>
                <w:color w:val="auto"/>
                <w:w w:val="71"/>
              </w:rPr>
              <w:t>o</w:t>
            </w:r>
          </w:p>
        </w:tc>
      </w:tr>
      <w:tr>
        <w:trPr>
          <w:trHeight w:val="310"/>
        </w:trPr>
        <w:tc>
          <w:tcPr>
            <w:tcW w:w="2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40" w:type="dxa"/>
            <w:vAlign w:val="bottom"/>
          </w:tcPr>
          <w:p>
            <w:pPr>
              <w:ind w:left="2180"/>
              <w:spacing w:after="0"/>
              <w:rPr>
                <w:sz w:val="20"/>
                <w:szCs w:val="20"/>
                <w:color w:val="auto"/>
              </w:rPr>
            </w:pPr>
            <w:r>
              <w:rPr>
                <w:rFonts w:ascii="Arial" w:cs="Arial" w:eastAsia="Arial" w:hAnsi="Arial"/>
                <w:sz w:val="15"/>
                <w:szCs w:val="15"/>
                <w:color w:val="auto"/>
              </w:rPr>
              <w:t>Emerging growth company</w:t>
            </w:r>
          </w:p>
        </w:tc>
        <w:tc>
          <w:tcPr>
            <w:tcW w:w="740" w:type="dxa"/>
            <w:vAlign w:val="bottom"/>
          </w:tcPr>
          <w:p>
            <w:pPr>
              <w:ind w:left="660"/>
              <w:spacing w:after="0"/>
              <w:rPr>
                <w:sz w:val="20"/>
                <w:szCs w:val="20"/>
                <w:color w:val="auto"/>
              </w:rPr>
            </w:pPr>
            <w:r>
              <w:rPr>
                <w:rFonts w:ascii="Arial" w:cs="Arial" w:eastAsia="Arial" w:hAnsi="Arial"/>
                <w:sz w:val="15"/>
                <w:szCs w:val="15"/>
                <w:color w:val="auto"/>
                <w:w w:val="71"/>
              </w:rPr>
              <w:t>o</w:t>
            </w:r>
          </w:p>
        </w:tc>
      </w:tr>
    </w:tbl>
    <w:p>
      <w:pPr>
        <w:spacing w:after="0" w:line="191" w:lineRule="exact"/>
        <w:rPr>
          <w:sz w:val="24"/>
          <w:szCs w:val="24"/>
          <w:color w:val="auto"/>
        </w:rPr>
      </w:pPr>
    </w:p>
    <w:p>
      <w:pPr>
        <w:ind w:right="220"/>
        <w:spacing w:after="0" w:line="20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right="2500"/>
        <w:spacing w:after="0" w:line="25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30, 2026, the registrant had 165,159,174 shares of common stock, $0.001 par value per share, outstanding</w:t>
      </w:r>
      <w:r>
        <w:rPr>
          <w:rFonts w:ascii="Arial" w:cs="Arial" w:eastAsia="Arial" w:hAnsi="Arial"/>
          <w:sz w:val="15"/>
          <w:szCs w:val="1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5" w:lineRule="exact"/>
        <w:rPr>
          <w:sz w:val="24"/>
          <w:szCs w:val="24"/>
          <w:color w:val="auto"/>
        </w:rPr>
      </w:pPr>
    </w:p>
    <w:p>
      <w:pPr>
        <w:ind w:right="20" w:firstLine="405"/>
        <w:spacing w:after="0" w:line="257"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business strategy, plans, market growth and our objectives for future operations.</w:t>
      </w:r>
    </w:p>
    <w:p>
      <w:pPr>
        <w:spacing w:after="0" w:line="84" w:lineRule="exact"/>
        <w:rPr>
          <w:sz w:val="24"/>
          <w:szCs w:val="24"/>
          <w:color w:val="auto"/>
        </w:rPr>
      </w:pPr>
    </w:p>
    <w:p>
      <w:pPr>
        <w:jc w:val="both"/>
        <w:ind w:right="140" w:firstLine="405"/>
        <w:spacing w:after="0" w:line="266"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w:t>
      </w:r>
    </w:p>
    <w:p>
      <w:pPr>
        <w:sectPr>
          <w:pgSz w:w="11900" w:h="16838" w:orient="portrait"/>
          <w:cols w:equalWidth="0" w:num="1">
            <w:col w:w="11240"/>
          </w:cols>
          <w:pgMar w:left="320" w:top="233" w:right="339" w:bottom="0" w:gutter="0" w:footer="0" w:header="0"/>
        </w:sectPr>
      </w:pPr>
    </w:p>
    <w:bookmarkStart w:id="1" w:name="page2"/>
    <w:bookmarkEnd w:id="1"/>
    <w:p>
      <w:pPr>
        <w:spacing w:after="0" w:line="259" w:lineRule="auto"/>
        <w:rPr>
          <w:sz w:val="20"/>
          <w:szCs w:val="20"/>
          <w:color w:val="auto"/>
        </w:rPr>
      </w:pPr>
      <w:r>
        <w:rPr>
          <w:rFonts w:ascii="Arial" w:cs="Arial" w:eastAsia="Arial" w:hAnsi="Arial"/>
          <w:sz w:val="16"/>
          <w:szCs w:val="16"/>
          <w:color w:val="auto"/>
        </w:rPr>
        <w:t>performance or achievements to be materially different from any future results, performance or achievements expressed or implied by the forward-looking statements, including but not limited to those factors discussed below under “Summary of Risk Factors” and in Part II, Item 1A, “Risk Factors” and elsewhere in this Quarterly Report on Form 10-Q, as well as any factors contained in our subsequent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2" w:lineRule="exact"/>
        <w:rPr>
          <w:sz w:val="20"/>
          <w:szCs w:val="20"/>
          <w:color w:val="auto"/>
        </w:rPr>
      </w:pPr>
    </w:p>
    <w:p>
      <w:pPr>
        <w:ind w:firstLine="405"/>
        <w:spacing w:after="0" w:line="260" w:lineRule="auto"/>
        <w:rPr>
          <w:sz w:val="20"/>
          <w:szCs w:val="20"/>
          <w:color w:val="auto"/>
        </w:rPr>
      </w:pPr>
      <w:r>
        <w:rPr>
          <w:rFonts w:ascii="Arial" w:cs="Arial" w:eastAsia="Arial" w:hAnsi="Arial"/>
          <w:sz w:val="16"/>
          <w:szCs w:val="16"/>
          <w:color w:val="auto"/>
        </w:rPr>
        <w:t>You should read this Quarterly Report on Form 10-Q and the documents that we reference herein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Quarterly Report on Form 10-Q, whether as a result of any new information, future events or otherwise.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business involves significant risks and you are urged to carefully consider the risks discussed under Part II, Item 1A, “Risk Factors”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prior to making an investment in our common stock. These risks include, but are not limited to, the following:</w:t>
      </w:r>
    </w:p>
    <w:p>
      <w:pPr>
        <w:spacing w:after="0" w:line="111" w:lineRule="exact"/>
        <w:rPr>
          <w:sz w:val="20"/>
          <w:szCs w:val="20"/>
          <w:color w:val="auto"/>
        </w:rPr>
      </w:pPr>
    </w:p>
    <w:p>
      <w:pPr>
        <w:ind w:left="720" w:hanging="297"/>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primarily depends on business formations.</w:t>
      </w:r>
    </w:p>
    <w:p>
      <w:pPr>
        <w:spacing w:after="0" w:line="113" w:lineRule="exact"/>
        <w:rPr>
          <w:rFonts w:ascii="Arial" w:cs="Arial" w:eastAsia="Arial" w:hAnsi="Arial"/>
          <w:sz w:val="16"/>
          <w:szCs w:val="16"/>
          <w:color w:val="auto"/>
        </w:rPr>
      </w:pPr>
    </w:p>
    <w:p>
      <w:pPr>
        <w:ind w:left="740" w:right="340" w:hanging="317"/>
        <w:spacing w:after="0" w:line="304" w:lineRule="auto"/>
        <w:tabs>
          <w:tab w:leader="none" w:pos="715"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depends substantially on our customers expanding their use of our platform, including our transactional customers converting to subscribers and our subscribers renewing their subscriptions with us.</w:t>
      </w:r>
    </w:p>
    <w:p>
      <w:pPr>
        <w:spacing w:after="0" w:line="33" w:lineRule="exact"/>
        <w:rPr>
          <w:rFonts w:ascii="Arial" w:cs="Arial" w:eastAsia="Arial" w:hAnsi="Arial"/>
          <w:sz w:val="16"/>
          <w:szCs w:val="16"/>
          <w:color w:val="auto"/>
        </w:rPr>
      </w:pPr>
    </w:p>
    <w:p>
      <w:pPr>
        <w:ind w:left="720" w:hanging="297"/>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future quarterly results of operations may fluctuate significantly.</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a history of net losses and we may not be able to maintain profitability.</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fail to provide high-quality products and services that meet our customers’ expectations, we may not be able to attract and retain customers.</w:t>
      </w:r>
    </w:p>
    <w:p>
      <w:pPr>
        <w:spacing w:after="0" w:line="113" w:lineRule="exact"/>
        <w:rPr>
          <w:rFonts w:ascii="Arial" w:cs="Arial" w:eastAsia="Arial" w:hAnsi="Arial"/>
          <w:sz w:val="16"/>
          <w:szCs w:val="16"/>
          <w:color w:val="auto"/>
        </w:rPr>
      </w:pPr>
    </w:p>
    <w:p>
      <w:pPr>
        <w:ind w:left="740" w:right="660" w:hanging="317"/>
        <w:spacing w:after="0" w:line="304" w:lineRule="auto"/>
        <w:tabs>
          <w:tab w:leader="none" w:pos="715"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do not continue to innovate and provide a platform that is useful to our customers, we may not remain competitive and our results of operations could suffer.</w:t>
      </w:r>
    </w:p>
    <w:p>
      <w:pPr>
        <w:spacing w:after="0" w:line="33" w:lineRule="exact"/>
        <w:rPr>
          <w:rFonts w:ascii="Arial" w:cs="Arial" w:eastAsia="Arial" w:hAnsi="Arial"/>
          <w:sz w:val="16"/>
          <w:szCs w:val="16"/>
          <w:color w:val="auto"/>
        </w:rPr>
      </w:pPr>
    </w:p>
    <w:p>
      <w:pPr>
        <w:ind w:left="740" w:right="540" w:hanging="317"/>
        <w:spacing w:after="0" w:line="286" w:lineRule="auto"/>
        <w:tabs>
          <w:tab w:leader="none" w:pos="71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legal solutions market is highly competitive and our failure to effectively compete successfully could materially and adversely affect our business, results of operations, financial condition and future prospects.</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depends on our brand and reputation, which could be adversely affected by numerous factors.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20" w:hanging="297"/>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incorporating generative artificial intelligence into some of our offerings, which may present compliance risks and reputational risks.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our marketing efforts are unsuccessful, our business, results of operations, financial condition and future prospects may be adversely affected.</w:t>
      </w:r>
    </w:p>
    <w:p>
      <w:pPr>
        <w:spacing w:after="0" w:line="126" w:lineRule="exact"/>
        <w:rPr>
          <w:rFonts w:ascii="Arial" w:cs="Arial" w:eastAsia="Arial" w:hAnsi="Arial"/>
          <w:sz w:val="16"/>
          <w:szCs w:val="16"/>
          <w:color w:val="auto"/>
        </w:rPr>
      </w:pPr>
    </w:p>
    <w:p>
      <w:pPr>
        <w:jc w:val="both"/>
        <w:ind w:left="740" w:right="480" w:hanging="317"/>
        <w:spacing w:after="0" w:line="286" w:lineRule="auto"/>
        <w:tabs>
          <w:tab w:leader="none" w:pos="715"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spacing w:after="0" w:line="61" w:lineRule="exact"/>
        <w:rPr>
          <w:rFonts w:ascii="Arial" w:cs="Arial" w:eastAsia="Arial" w:hAnsi="Arial"/>
          <w:sz w:val="16"/>
          <w:szCs w:val="16"/>
          <w:color w:val="auto"/>
        </w:rPr>
      </w:pPr>
    </w:p>
    <w:p>
      <w:pPr>
        <w:ind w:left="740" w:right="20" w:hanging="317"/>
        <w:spacing w:after="0" w:line="286" w:lineRule="auto"/>
        <w:tabs>
          <w:tab w:leader="none" w:pos="71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and success depend in part on our strategic relationships with third parties, including our partner ecosystem, and our business may be harmed if we fail to maintain or expand these relationships.</w:t>
      </w:r>
    </w:p>
    <w:p>
      <w:pPr>
        <w:spacing w:after="0" w:line="47" w:lineRule="exact"/>
        <w:rPr>
          <w:rFonts w:ascii="Arial" w:cs="Arial" w:eastAsia="Arial" w:hAnsi="Arial"/>
          <w:sz w:val="16"/>
          <w:szCs w:val="16"/>
          <w:color w:val="auto"/>
        </w:rPr>
      </w:pPr>
    </w:p>
    <w:p>
      <w:pPr>
        <w:ind w:left="720" w:hanging="297"/>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third-party providers could adversely affect our business.</w:t>
      </w:r>
    </w:p>
    <w:p>
      <w:pPr>
        <w:spacing w:after="0" w:line="126" w:lineRule="exact"/>
        <w:rPr>
          <w:rFonts w:ascii="Arial" w:cs="Arial" w:eastAsia="Arial" w:hAnsi="Arial"/>
          <w:sz w:val="16"/>
          <w:szCs w:val="16"/>
          <w:color w:val="auto"/>
        </w:rPr>
      </w:pPr>
    </w:p>
    <w:p>
      <w:pPr>
        <w:ind w:left="740" w:right="100" w:hanging="317"/>
        <w:spacing w:after="0" w:line="286" w:lineRule="auto"/>
        <w:tabs>
          <w:tab w:leader="none" w:pos="715"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future acquisitions or investments may divert management’s attention, result in additional dilution to our stockholders or adversely affect our operating results.</w:t>
      </w:r>
    </w:p>
    <w:p>
      <w:pPr>
        <w:spacing w:after="0" w:line="61" w:lineRule="exact"/>
        <w:rPr>
          <w:rFonts w:ascii="Arial" w:cs="Arial" w:eastAsia="Arial" w:hAnsi="Arial"/>
          <w:sz w:val="16"/>
          <w:szCs w:val="16"/>
          <w:color w:val="auto"/>
        </w:rPr>
      </w:pPr>
    </w:p>
    <w:p>
      <w:pPr>
        <w:ind w:left="740" w:right="360" w:hanging="317"/>
        <w:spacing w:after="0" w:line="286" w:lineRule="auto"/>
        <w:tabs>
          <w:tab w:leader="none" w:pos="715"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unable to maintain effective internal control over financial reporting in the future, investors may lose confidence in the accuracy and completeness of our financial reports and the market price of our common stock may decline.</w:t>
      </w:r>
    </w:p>
    <w:p>
      <w:pPr>
        <w:spacing w:after="0" w:line="47" w:lineRule="exact"/>
        <w:rPr>
          <w:rFonts w:ascii="Arial" w:cs="Arial" w:eastAsia="Arial" w:hAnsi="Arial"/>
          <w:sz w:val="16"/>
          <w:szCs w:val="16"/>
          <w:color w:val="auto"/>
        </w:rPr>
      </w:pPr>
    </w:p>
    <w:p>
      <w:pPr>
        <w:ind w:left="740" w:right="60" w:hanging="317"/>
        <w:spacing w:after="0" w:line="275" w:lineRule="auto"/>
        <w:tabs>
          <w:tab w:leader="none" w:pos="71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and services subject us to complex and evolving U.S. and foreign laws and regulations and any failure or perceived failure by us to comply with applicable laws and regulations may subject us to regulatory inquiries, claims, suits, and prosecutions, as well as changes in our service offerings, potential liabilities, or additional costs.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Third Party Information</w:t>
      </w:r>
    </w:p>
    <w:p>
      <w:pPr>
        <w:spacing w:after="0" w:line="235"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This Quarterly Report on Form 10-Q includes market data and certain other statistical information and estimates that are based on reports and other publications from independent third party sources, as well as management's own good faith estimates and analyses. We believe these third party reports to be reputable, but have not independently verified the underlying data sources, methodologies, or assumptions. The reports and other publications referenced are generally available to the public and were not commissioned by LegalZoom.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gridSpan w:val="9"/>
          </w:tcPr>
          <w:p>
            <w:pPr>
              <w:ind w:left="640"/>
              <w:spacing w:after="0"/>
              <w:rPr>
                <w:sz w:val="20"/>
                <w:szCs w:val="20"/>
                <w:color w:val="auto"/>
              </w:rPr>
            </w:pPr>
            <w:r>
              <w:rPr>
                <w:rFonts w:ascii="Arial" w:cs="Arial" w:eastAsia="Arial" w:hAnsi="Arial"/>
                <w:sz w:val="16"/>
                <w:szCs w:val="16"/>
                <w:b w:val="1"/>
                <w:bCs w:val="1"/>
                <w:color w:val="auto"/>
              </w:rPr>
              <w:t>TABLE OF CONTENTS</w:t>
            </w:r>
          </w:p>
        </w:tc>
        <w:tc>
          <w:tcPr>
            <w:tcW w:w="0" w:type="dxa"/>
            <w:vAlign w:val="bottom"/>
          </w:tcPr>
          <w:p>
            <w:pPr>
              <w:spacing w:after="0"/>
              <w:rPr>
                <w:sz w:val="1"/>
                <w:szCs w:val="1"/>
                <w:color w:val="auto"/>
              </w:rPr>
            </w:pPr>
          </w:p>
        </w:tc>
      </w:tr>
      <w:tr>
        <w:trPr>
          <w:trHeight w:val="615"/>
        </w:trPr>
        <w:tc>
          <w:tcPr>
            <w:tcW w:w="42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w w:val="99"/>
              </w:rPr>
              <w:t>Part I</w:t>
            </w:r>
          </w:p>
        </w:tc>
        <w:tc>
          <w:tcPr>
            <w:tcW w:w="680" w:type="dxa"/>
            <w:vAlign w:val="bottom"/>
            <w:gridSpan w:val="5"/>
          </w:tcPr>
          <w:p>
            <w:pPr>
              <w:spacing w:after="0"/>
              <w:rPr>
                <w:sz w:val="24"/>
                <w:szCs w:val="24"/>
                <w:color w:val="auto"/>
              </w:rPr>
            </w:pPr>
          </w:p>
        </w:tc>
        <w:tc>
          <w:tcPr>
            <w:tcW w:w="202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9"/>
              </w:rPr>
              <w:t>FINANCIAL INFORMATION</w:t>
            </w:r>
          </w:p>
        </w:tc>
        <w:tc>
          <w:tcPr>
            <w:tcW w:w="51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00" w:type="dxa"/>
            <w:vAlign w:val="bottom"/>
            <w:gridSpan w:val="6"/>
          </w:tcPr>
          <w:p>
            <w:pPr>
              <w:spacing w:after="0" w:line="183" w:lineRule="exact"/>
              <w:rPr>
                <w:sz w:val="20"/>
                <w:szCs w:val="20"/>
                <w:color w:val="auto"/>
              </w:rPr>
            </w:pPr>
            <w:r>
              <w:rPr>
                <w:rFonts w:ascii="Arial" w:cs="Arial" w:eastAsia="Arial" w:hAnsi="Arial"/>
                <w:sz w:val="16"/>
                <w:szCs w:val="16"/>
                <w:color w:val="0000FF"/>
              </w:rPr>
              <w:t>Item 1.</w:t>
            </w:r>
          </w:p>
        </w:tc>
        <w:tc>
          <w:tcPr>
            <w:tcW w:w="7180" w:type="dxa"/>
            <w:vAlign w:val="bottom"/>
            <w:gridSpan w:val="20"/>
          </w:tcPr>
          <w:p>
            <w:pPr>
              <w:spacing w:after="0" w:line="183" w:lineRule="exact"/>
              <w:rPr>
                <w:sz w:val="20"/>
                <w:szCs w:val="20"/>
                <w:color w:val="auto"/>
              </w:rPr>
            </w:pPr>
            <w:r>
              <w:rPr>
                <w:rFonts w:ascii="Arial" w:cs="Arial" w:eastAsia="Arial" w:hAnsi="Arial"/>
                <w:sz w:val="16"/>
                <w:szCs w:val="16"/>
                <w:color w:val="0000FF"/>
              </w:rPr>
              <w:t>Condensed Consolidated Financial Statements (Unaudited)</w:t>
            </w:r>
          </w:p>
        </w:tc>
        <w:tc>
          <w:tcPr>
            <w:tcW w:w="0" w:type="dxa"/>
            <w:vAlign w:val="bottom"/>
          </w:tcPr>
          <w:p>
            <w:pPr>
              <w:spacing w:after="0"/>
              <w:rPr>
                <w:sz w:val="1"/>
                <w:szCs w:val="1"/>
                <w:color w:val="auto"/>
              </w:rPr>
            </w:pPr>
          </w:p>
        </w:tc>
      </w:tr>
      <w:tr>
        <w:trPr>
          <w:trHeight w:val="229"/>
        </w:trPr>
        <w:tc>
          <w:tcPr>
            <w:tcW w:w="4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color w:val="0000FF"/>
              </w:rPr>
              <w:t>Condensed Consolidated Balance Sheets</w:t>
            </w:r>
          </w:p>
        </w:tc>
        <w:tc>
          <w:tcPr>
            <w:tcW w:w="1260" w:type="dxa"/>
            <w:vAlign w:val="bottom"/>
            <w:tcBorders>
              <w:top w:val="single" w:sz="8" w:color="0000FF"/>
            </w:tcBorders>
            <w:gridSpan w:val="5"/>
          </w:tcPr>
          <w:p>
            <w:pPr>
              <w:spacing w:after="0"/>
              <w:rPr>
                <w:sz w:val="19"/>
                <w:szCs w:val="19"/>
                <w:color w:val="auto"/>
              </w:rPr>
            </w:pPr>
          </w:p>
        </w:tc>
        <w:tc>
          <w:tcPr>
            <w:tcW w:w="29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80" w:type="dxa"/>
            <w:vAlign w:val="bottom"/>
            <w:gridSpan w:val="20"/>
          </w:tcPr>
          <w:p>
            <w:pPr>
              <w:spacing w:after="0"/>
              <w:rPr>
                <w:sz w:val="20"/>
                <w:szCs w:val="20"/>
                <w:color w:val="auto"/>
              </w:rPr>
            </w:pPr>
            <w:r>
              <w:rPr>
                <w:rFonts w:ascii="Arial" w:cs="Arial" w:eastAsia="Arial" w:hAnsi="Arial"/>
                <w:sz w:val="16"/>
                <w:szCs w:val="16"/>
                <w:color w:val="0000FF"/>
              </w:rPr>
              <w:t>Condensed Consolidated Statements of Operations</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2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rPr>
              <w:t>Condensed Consolidated Statements of Comprehensive Income</w:t>
            </w:r>
          </w:p>
        </w:tc>
        <w:tc>
          <w:tcPr>
            <w:tcW w:w="2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28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6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Condensed Consolidated Statements of Cash Flows</w:t>
            </w:r>
          </w:p>
        </w:tc>
        <w:tc>
          <w:tcPr>
            <w:tcW w:w="342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80" w:type="dxa"/>
            <w:vAlign w:val="bottom"/>
            <w:gridSpan w:val="20"/>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spacing w:after="0"/>
              <w:rPr>
                <w:sz w:val="20"/>
                <w:szCs w:val="20"/>
                <w:color w:val="auto"/>
              </w:rPr>
            </w:pPr>
            <w:r>
              <w:rPr>
                <w:rFonts w:ascii="Arial" w:cs="Arial" w:eastAsia="Arial" w:hAnsi="Arial"/>
                <w:sz w:val="16"/>
                <w:szCs w:val="16"/>
                <w:color w:val="0000FF"/>
                <w:w w:val="98"/>
              </w:rPr>
              <w:t>Item 2.</w:t>
            </w:r>
          </w:p>
        </w:tc>
        <w:tc>
          <w:tcPr>
            <w:tcW w:w="580" w:type="dxa"/>
            <w:vAlign w:val="bottom"/>
            <w:gridSpan w:val="3"/>
            <w:vMerge w:val="restart"/>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 w:type="dxa"/>
            <w:vAlign w:val="bottom"/>
            <w:gridSpan w:val="3"/>
            <w:vMerge w:val="continue"/>
          </w:tcPr>
          <w:p>
            <w:pPr>
              <w:spacing w:after="0"/>
              <w:rPr>
                <w:sz w:val="19"/>
                <w:szCs w:val="19"/>
                <w:color w:val="auto"/>
              </w:rPr>
            </w:pPr>
          </w:p>
        </w:tc>
        <w:tc>
          <w:tcPr>
            <w:tcW w:w="580" w:type="dxa"/>
            <w:vAlign w:val="bottom"/>
            <w:gridSpan w:val="3"/>
            <w:vMerge w:val="continue"/>
          </w:tcPr>
          <w:p>
            <w:pPr>
              <w:spacing w:after="0"/>
              <w:rPr>
                <w:sz w:val="19"/>
                <w:szCs w:val="19"/>
                <w:color w:val="auto"/>
              </w:rPr>
            </w:pPr>
          </w:p>
        </w:tc>
        <w:tc>
          <w:tcPr>
            <w:tcW w:w="7180" w:type="dxa"/>
            <w:vAlign w:val="bottom"/>
            <w:gridSpan w:val="20"/>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23"/>
        </w:trPr>
        <w:tc>
          <w:tcPr>
            <w:tcW w:w="5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8"/>
              </w:rPr>
              <w:t>Item 3.</w:t>
            </w:r>
          </w:p>
        </w:tc>
        <w:tc>
          <w:tcPr>
            <w:tcW w:w="580" w:type="dxa"/>
            <w:vAlign w:val="bottom"/>
            <w:gridSpan w:val="3"/>
          </w:tcPr>
          <w:p>
            <w:pPr>
              <w:spacing w:after="0"/>
              <w:rPr>
                <w:sz w:val="19"/>
                <w:szCs w:val="19"/>
                <w:color w:val="auto"/>
              </w:rPr>
            </w:pPr>
          </w:p>
        </w:tc>
        <w:tc>
          <w:tcPr>
            <w:tcW w:w="636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gridSpan w:val="6"/>
          </w:tcPr>
          <w:p>
            <w:pPr>
              <w:spacing w:after="0"/>
              <w:rPr>
                <w:sz w:val="20"/>
                <w:szCs w:val="20"/>
                <w:color w:val="auto"/>
              </w:rPr>
            </w:pPr>
            <w:r>
              <w:rPr>
                <w:rFonts w:ascii="Arial" w:cs="Arial" w:eastAsia="Arial" w:hAnsi="Arial"/>
                <w:sz w:val="16"/>
                <w:szCs w:val="16"/>
                <w:color w:val="0000FF"/>
              </w:rPr>
              <w:t>Item 4.</w:t>
            </w:r>
          </w:p>
        </w:tc>
        <w:tc>
          <w:tcPr>
            <w:tcW w:w="422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0000FF"/>
              </w:rPr>
              <w:t>Controls and Procedures</w:t>
            </w:r>
          </w:p>
        </w:tc>
        <w:tc>
          <w:tcPr>
            <w:tcW w:w="296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b w:val="1"/>
                <w:bCs w:val="1"/>
                <w:color w:val="0000FF"/>
                <w:w w:val="98"/>
              </w:rPr>
              <w:t>Part II</w:t>
            </w:r>
          </w:p>
        </w:tc>
        <w:tc>
          <w:tcPr>
            <w:tcW w:w="60" w:type="dxa"/>
            <w:vAlign w:val="bottom"/>
            <w:tcBorders>
              <w:top w:val="single" w:sz="8" w:color="0000FF"/>
            </w:tcBorders>
          </w:tcPr>
          <w:p>
            <w:pPr>
              <w:spacing w:after="0"/>
              <w:rPr>
                <w:sz w:val="19"/>
                <w:szCs w:val="19"/>
                <w:color w:val="auto"/>
              </w:rPr>
            </w:pPr>
          </w:p>
        </w:tc>
        <w:tc>
          <w:tcPr>
            <w:tcW w:w="580" w:type="dxa"/>
            <w:vAlign w:val="bottom"/>
            <w:gridSpan w:val="3"/>
          </w:tcPr>
          <w:p>
            <w:pPr>
              <w:spacing w:after="0"/>
              <w:rPr>
                <w:sz w:val="19"/>
                <w:szCs w:val="19"/>
                <w:color w:val="auto"/>
              </w:rPr>
            </w:pPr>
          </w:p>
        </w:tc>
        <w:tc>
          <w:tcPr>
            <w:tcW w:w="17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99"/>
              </w:rPr>
              <w:t>OTHER INFORMATION</w:t>
            </w:r>
          </w:p>
        </w:tc>
        <w:tc>
          <w:tcPr>
            <w:tcW w:w="60" w:type="dxa"/>
            <w:vAlign w:val="bottom"/>
            <w:tcBorders>
              <w:top w:val="single" w:sz="8" w:color="0000FF"/>
            </w:tcBorders>
          </w:tcPr>
          <w:p>
            <w:pPr>
              <w:spacing w:after="0"/>
              <w:rPr>
                <w:sz w:val="19"/>
                <w:szCs w:val="19"/>
                <w:color w:val="auto"/>
              </w:rPr>
            </w:pPr>
          </w:p>
        </w:tc>
        <w:tc>
          <w:tcPr>
            <w:tcW w:w="538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0" w:type="dxa"/>
            <w:vAlign w:val="bottom"/>
            <w:gridSpan w:val="3"/>
          </w:tcPr>
          <w:p>
            <w:pPr>
              <w:spacing w:after="0"/>
              <w:rPr>
                <w:sz w:val="20"/>
                <w:szCs w:val="20"/>
                <w:color w:val="auto"/>
              </w:rPr>
            </w:pPr>
            <w:r>
              <w:rPr>
                <w:rFonts w:ascii="Arial" w:cs="Arial" w:eastAsia="Arial" w:hAnsi="Arial"/>
                <w:sz w:val="16"/>
                <w:szCs w:val="16"/>
                <w:color w:val="0000FF"/>
                <w:w w:val="98"/>
              </w:rPr>
              <w:t>Item 1.</w:t>
            </w:r>
          </w:p>
        </w:tc>
        <w:tc>
          <w:tcPr>
            <w:tcW w:w="580" w:type="dxa"/>
            <w:vAlign w:val="bottom"/>
            <w:gridSpan w:val="3"/>
          </w:tcPr>
          <w:p>
            <w:pPr>
              <w:spacing w:after="0"/>
              <w:rPr>
                <w:sz w:val="17"/>
                <w:szCs w:val="17"/>
                <w:color w:val="auto"/>
              </w:rPr>
            </w:pPr>
          </w:p>
        </w:tc>
        <w:tc>
          <w:tcPr>
            <w:tcW w:w="7180" w:type="dxa"/>
            <w:vAlign w:val="bottom"/>
            <w:gridSpan w:val="20"/>
          </w:tcPr>
          <w:p>
            <w:pPr>
              <w:spacing w:after="0"/>
              <w:rPr>
                <w:sz w:val="20"/>
                <w:szCs w:val="20"/>
                <w:color w:val="auto"/>
              </w:rPr>
            </w:pPr>
            <w:r>
              <w:rPr>
                <w:rFonts w:ascii="Arial" w:cs="Arial" w:eastAsia="Arial" w:hAnsi="Arial"/>
                <w:sz w:val="16"/>
                <w:szCs w:val="16"/>
                <w:color w:val="0000FF"/>
              </w:rPr>
              <w:t>Legal Proceedings</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36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00" w:type="dxa"/>
            <w:vAlign w:val="bottom"/>
            <w:gridSpan w:val="6"/>
          </w:tcPr>
          <w:p>
            <w:pPr>
              <w:spacing w:after="0"/>
              <w:rPr>
                <w:sz w:val="20"/>
                <w:szCs w:val="20"/>
                <w:color w:val="auto"/>
              </w:rPr>
            </w:pPr>
            <w:r>
              <w:rPr>
                <w:rFonts w:ascii="Arial" w:cs="Arial" w:eastAsia="Arial" w:hAnsi="Arial"/>
                <w:sz w:val="16"/>
                <w:szCs w:val="16"/>
                <w:color w:val="0000FF"/>
              </w:rPr>
              <w:t>Item 1A</w:t>
            </w:r>
            <w:r>
              <w:rPr>
                <w:rFonts w:ascii="Arial" w:cs="Arial" w:eastAsia="Arial" w:hAnsi="Arial"/>
                <w:sz w:val="16"/>
                <w:szCs w:val="16"/>
                <w:color w:val="000000"/>
              </w:rPr>
              <w:t>.</w:t>
            </w:r>
          </w:p>
        </w:tc>
        <w:tc>
          <w:tcPr>
            <w:tcW w:w="7180" w:type="dxa"/>
            <w:vAlign w:val="bottom"/>
            <w:gridSpan w:val="20"/>
          </w:tcPr>
          <w:p>
            <w:pPr>
              <w:spacing w:after="0"/>
              <w:rPr>
                <w:sz w:val="20"/>
                <w:szCs w:val="20"/>
                <w:color w:val="auto"/>
              </w:rPr>
            </w:pPr>
            <w:r>
              <w:rPr>
                <w:rFonts w:ascii="Arial" w:cs="Arial" w:eastAsia="Arial" w:hAnsi="Arial"/>
                <w:sz w:val="16"/>
                <w:szCs w:val="16"/>
                <w:color w:val="0000FF"/>
              </w:rPr>
              <w:t>Risk Factors</w:t>
            </w: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gridSpan w:val="3"/>
            <w:vMerge w:val="restart"/>
          </w:tcPr>
          <w:p>
            <w:pPr>
              <w:spacing w:after="0"/>
              <w:rPr>
                <w:sz w:val="20"/>
                <w:szCs w:val="20"/>
                <w:color w:val="auto"/>
              </w:rPr>
            </w:pPr>
            <w:r>
              <w:rPr>
                <w:rFonts w:ascii="Arial" w:cs="Arial" w:eastAsia="Arial" w:hAnsi="Arial"/>
                <w:sz w:val="16"/>
                <w:szCs w:val="16"/>
                <w:color w:val="0000FF"/>
                <w:w w:val="98"/>
              </w:rPr>
              <w:t>Item 2.</w:t>
            </w:r>
          </w:p>
        </w:tc>
        <w:tc>
          <w:tcPr>
            <w:tcW w:w="40" w:type="dxa"/>
            <w:vAlign w:val="bottom"/>
            <w:tcBorders>
              <w:top w:val="single" w:sz="8" w:color="0000FF"/>
            </w:tcBorders>
            <w:vMerge w:val="restart"/>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Borders>
              <w:bottom w:val="single" w:sz="8" w:color="0000FF"/>
            </w:tcBorders>
            <w:gridSpan w:val="3"/>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718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rPr>
              <w:t>Unregistered Sales of Equity Securities, Use of Proceeds, and Issuer Purchases of Equity Securities</w:t>
            </w: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Item 3.</w:t>
            </w:r>
          </w:p>
        </w:tc>
        <w:tc>
          <w:tcPr>
            <w:tcW w:w="580" w:type="dxa"/>
            <w:vAlign w:val="bottom"/>
            <w:gridSpan w:val="3"/>
          </w:tcPr>
          <w:p>
            <w:pPr>
              <w:spacing w:after="0"/>
              <w:rPr>
                <w:sz w:val="19"/>
                <w:szCs w:val="19"/>
                <w:color w:val="auto"/>
              </w:rPr>
            </w:pPr>
          </w:p>
        </w:tc>
        <w:tc>
          <w:tcPr>
            <w:tcW w:w="23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Defaults Upon Senior Securities</w:t>
            </w:r>
          </w:p>
        </w:tc>
        <w:tc>
          <w:tcPr>
            <w:tcW w:w="488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Item 4.</w:t>
            </w:r>
          </w:p>
        </w:tc>
        <w:tc>
          <w:tcPr>
            <w:tcW w:w="580" w:type="dxa"/>
            <w:vAlign w:val="bottom"/>
            <w:gridSpan w:val="3"/>
          </w:tcPr>
          <w:p>
            <w:pPr>
              <w:spacing w:after="0"/>
              <w:rPr>
                <w:sz w:val="19"/>
                <w:szCs w:val="19"/>
                <w:color w:val="auto"/>
              </w:rPr>
            </w:pPr>
          </w:p>
        </w:tc>
        <w:tc>
          <w:tcPr>
            <w:tcW w:w="174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Mine Safety Disclosures</w:t>
            </w:r>
          </w:p>
        </w:tc>
        <w:tc>
          <w:tcPr>
            <w:tcW w:w="544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Item 5.</w:t>
            </w:r>
          </w:p>
        </w:tc>
        <w:tc>
          <w:tcPr>
            <w:tcW w:w="580" w:type="dxa"/>
            <w:vAlign w:val="bottom"/>
            <w:gridSpan w:val="3"/>
          </w:tcPr>
          <w:p>
            <w:pPr>
              <w:spacing w:after="0"/>
              <w:rPr>
                <w:sz w:val="19"/>
                <w:szCs w:val="19"/>
                <w:color w:val="auto"/>
              </w:rPr>
            </w:pPr>
          </w:p>
        </w:tc>
        <w:tc>
          <w:tcPr>
            <w:tcW w:w="12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Other Information</w:t>
            </w:r>
          </w:p>
        </w:tc>
        <w:tc>
          <w:tcPr>
            <w:tcW w:w="592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Item 6.</w:t>
            </w:r>
          </w:p>
        </w:tc>
        <w:tc>
          <w:tcPr>
            <w:tcW w:w="580" w:type="dxa"/>
            <w:vAlign w:val="bottom"/>
            <w:gridSpan w:val="3"/>
          </w:tcPr>
          <w:p>
            <w:pPr>
              <w:spacing w:after="0"/>
              <w:rPr>
                <w:sz w:val="19"/>
                <w:szCs w:val="19"/>
                <w:color w:val="auto"/>
              </w:rPr>
            </w:pPr>
          </w:p>
        </w:tc>
        <w:tc>
          <w:tcPr>
            <w:tcW w:w="7180" w:type="dxa"/>
            <w:vAlign w:val="bottom"/>
            <w:gridSpan w:val="20"/>
          </w:tcPr>
          <w:p>
            <w:pPr>
              <w:spacing w:after="0"/>
              <w:rPr>
                <w:sz w:val="20"/>
                <w:szCs w:val="20"/>
                <w:color w:val="auto"/>
              </w:rPr>
            </w:pPr>
            <w:r>
              <w:rPr>
                <w:rFonts w:ascii="Arial" w:cs="Arial" w:eastAsia="Arial" w:hAnsi="Arial"/>
                <w:sz w:val="16"/>
                <w:szCs w:val="16"/>
                <w:color w:val="0000FF"/>
              </w:rPr>
              <w:t>Exhibits</w:t>
            </w:r>
          </w:p>
        </w:tc>
        <w:tc>
          <w:tcPr>
            <w:tcW w:w="0" w:type="dxa"/>
            <w:vAlign w:val="bottom"/>
          </w:tcPr>
          <w:p>
            <w:pPr>
              <w:spacing w:after="0"/>
              <w:rPr>
                <w:sz w:val="1"/>
                <w:szCs w:val="1"/>
                <w:color w:val="auto"/>
              </w:rPr>
            </w:pPr>
          </w:p>
        </w:tc>
      </w:tr>
      <w:tr>
        <w:trPr>
          <w:trHeight w:val="217"/>
        </w:trPr>
        <w:tc>
          <w:tcPr>
            <w:tcW w:w="1100" w:type="dxa"/>
            <w:vAlign w:val="bottom"/>
            <w:gridSpan w:val="6"/>
          </w:tcPr>
          <w:p>
            <w:pPr>
              <w:spacing w:after="0"/>
              <w:rPr>
                <w:sz w:val="20"/>
                <w:szCs w:val="20"/>
                <w:color w:val="auto"/>
              </w:rPr>
            </w:pPr>
            <w:r>
              <w:rPr>
                <w:rFonts w:ascii="Arial" w:cs="Arial" w:eastAsia="Arial" w:hAnsi="Arial"/>
                <w:sz w:val="16"/>
                <w:szCs w:val="16"/>
                <w:color w:val="0000FF"/>
              </w:rPr>
              <w:t>Signatures</w:t>
            </w:r>
          </w:p>
        </w:tc>
        <w:tc>
          <w:tcPr>
            <w:tcW w:w="56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20955</wp:posOffset>
            </wp:positionV>
            <wp:extent cx="702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28"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2</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2</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3</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4</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5</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9</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21</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38</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39</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40</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40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61</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61</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61</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61</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62</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63</w:t>
      </w:r>
    </w:p>
    <w:p>
      <w:pPr>
        <w:sectPr>
          <w:pgSz w:w="11900" w:h="16838" w:orient="portrait"/>
          <w:cols w:equalWidth="0" w:num="2">
            <w:col w:w="9780" w:space="720"/>
            <w:col w:w="380"/>
          </w:cols>
          <w:pgMar w:left="320" w:top="125" w:right="6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4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7"/>
        </w:trPr>
        <w:tc>
          <w:tcPr>
            <w:tcW w:w="1260" w:type="dxa"/>
            <w:vAlign w:val="bottom"/>
            <w:tcBorders>
              <w:top w:val="single" w:sz="8" w:color="0000FF"/>
            </w:tcBorders>
          </w:tcPr>
          <w:p>
            <w:pPr>
              <w:spacing w:after="0"/>
              <w:rPr>
                <w:sz w:val="20"/>
                <w:szCs w:val="20"/>
                <w:color w:val="auto"/>
              </w:rPr>
            </w:pPr>
            <w:r>
              <w:rPr>
                <w:rFonts w:ascii="Arial" w:cs="Arial" w:eastAsia="Arial" w:hAnsi="Arial"/>
                <w:sz w:val="16"/>
                <w:szCs w:val="16"/>
                <w:b w:val="1"/>
                <w:bCs w:val="1"/>
                <w:color w:val="auto"/>
              </w:rPr>
              <w:t>Part I</w:t>
            </w:r>
          </w:p>
        </w:tc>
        <w:tc>
          <w:tcPr>
            <w:tcW w:w="7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0" w:type="dxa"/>
            <w:vAlign w:val="bottom"/>
            <w:gridSpan w:val="2"/>
          </w:tcPr>
          <w:p>
            <w:pPr>
              <w:spacing w:after="0"/>
              <w:rPr>
                <w:sz w:val="20"/>
                <w:szCs w:val="20"/>
                <w:color w:val="auto"/>
              </w:rPr>
            </w:pPr>
            <w:r>
              <w:rPr>
                <w:rFonts w:ascii="Arial" w:cs="Arial" w:eastAsia="Arial" w:hAnsi="Arial"/>
                <w:sz w:val="16"/>
                <w:szCs w:val="16"/>
                <w:b w:val="1"/>
                <w:bCs w:val="1"/>
                <w:color w:val="auto"/>
              </w:rPr>
              <w:t>Item 1. Condensed Consolidated Financial Statements (Unaudited)</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4"/>
                <w:szCs w:val="24"/>
                <w:color w:val="auto"/>
              </w:rPr>
            </w:pPr>
          </w:p>
        </w:tc>
        <w:tc>
          <w:tcPr>
            <w:tcW w:w="7140" w:type="dxa"/>
            <w:vAlign w:val="bottom"/>
          </w:tcPr>
          <w:p>
            <w:pPr>
              <w:jc w:val="center"/>
              <w:ind w:left="1499"/>
              <w:spacing w:after="0"/>
              <w:rPr>
                <w:sz w:val="20"/>
                <w:szCs w:val="20"/>
                <w:color w:val="auto"/>
              </w:rPr>
            </w:pPr>
            <w:r>
              <w:rPr>
                <w:rFonts w:ascii="Arial" w:cs="Arial" w:eastAsia="Arial" w:hAnsi="Arial"/>
                <w:sz w:val="16"/>
                <w:szCs w:val="16"/>
                <w:b w:val="1"/>
                <w:bCs w:val="1"/>
                <w:color w:val="auto"/>
              </w:rPr>
              <w:t>LegalZoom.com, Inc.</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60" w:type="dxa"/>
            <w:vAlign w:val="bottom"/>
          </w:tcPr>
          <w:p>
            <w:pPr>
              <w:spacing w:after="0"/>
              <w:rPr>
                <w:sz w:val="24"/>
                <w:szCs w:val="24"/>
                <w:color w:val="auto"/>
              </w:rPr>
            </w:pPr>
          </w:p>
        </w:tc>
        <w:tc>
          <w:tcPr>
            <w:tcW w:w="7140" w:type="dxa"/>
            <w:vAlign w:val="bottom"/>
          </w:tcPr>
          <w:p>
            <w:pPr>
              <w:jc w:val="center"/>
              <w:ind w:left="1499"/>
              <w:spacing w:after="0"/>
              <w:rPr>
                <w:sz w:val="20"/>
                <w:szCs w:val="20"/>
                <w:color w:val="auto"/>
              </w:rPr>
            </w:pPr>
            <w:r>
              <w:rPr>
                <w:rFonts w:ascii="Arial" w:cs="Arial" w:eastAsia="Arial" w:hAnsi="Arial"/>
                <w:sz w:val="16"/>
                <w:szCs w:val="16"/>
                <w:b w:val="1"/>
                <w:bCs w:val="1"/>
                <w:color w:val="auto"/>
              </w:rPr>
              <w:t>Unaudited Condensed Consolidated Balance Sheets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7140" w:type="dxa"/>
            <w:vAlign w:val="bottom"/>
          </w:tcPr>
          <w:p>
            <w:pPr>
              <w:jc w:val="center"/>
              <w:ind w:left="1499"/>
              <w:spacing w:after="0"/>
              <w:rPr>
                <w:sz w:val="20"/>
                <w:szCs w:val="20"/>
                <w:color w:val="auto"/>
              </w:rPr>
            </w:pPr>
            <w:r>
              <w:rPr>
                <w:rFonts w:ascii="Arial" w:cs="Arial" w:eastAsia="Arial" w:hAnsi="Arial"/>
                <w:sz w:val="16"/>
                <w:szCs w:val="16"/>
                <w:i w:val="1"/>
                <w:iCs w:val="1"/>
                <w:color w:val="auto"/>
              </w:rPr>
              <w:t>(In thousands, except par values)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5"/>
                <w:szCs w:val="15"/>
                <w:color w:val="auto"/>
              </w:rPr>
            </w:pPr>
          </w:p>
        </w:tc>
        <w:tc>
          <w:tcPr>
            <w:tcW w:w="1240" w:type="dxa"/>
            <w:vAlign w:val="bottom"/>
          </w:tcPr>
          <w:p>
            <w:pPr>
              <w:jc w:val="right"/>
              <w:ind w:right="79"/>
              <w:spacing w:after="0" w:line="178"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1260" w:type="dxa"/>
            <w:vAlign w:val="bottom"/>
            <w:tcBorders>
              <w:bottom w:val="single" w:sz="8" w:color="CCEEFF"/>
            </w:tcBorders>
          </w:tcPr>
          <w:p>
            <w:pPr>
              <w:spacing w:after="0"/>
              <w:rPr>
                <w:sz w:val="18"/>
                <w:szCs w:val="18"/>
                <w:color w:val="auto"/>
              </w:rPr>
            </w:pPr>
          </w:p>
        </w:tc>
        <w:tc>
          <w:tcPr>
            <w:tcW w:w="7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203,100</w:t>
            </w:r>
          </w:p>
        </w:tc>
        <w:tc>
          <w:tcPr>
            <w:tcW w:w="0" w:type="dxa"/>
            <w:vAlign w:val="bottom"/>
          </w:tcPr>
          <w:p>
            <w:pPr>
              <w:spacing w:after="0"/>
              <w:rPr>
                <w:sz w:val="1"/>
                <w:szCs w:val="1"/>
                <w:color w:val="auto"/>
              </w:rPr>
            </w:pPr>
          </w:p>
        </w:tc>
      </w:tr>
      <w:tr>
        <w:trPr>
          <w:trHeight w:val="215"/>
        </w:trPr>
        <w:tc>
          <w:tcPr>
            <w:tcW w:w="8400" w:type="dxa"/>
            <w:vAlign w:val="bottom"/>
            <w:gridSpan w:val="2"/>
          </w:tcPr>
          <w:p>
            <w:pPr>
              <w:ind w:left="360"/>
              <w:spacing w:after="0"/>
              <w:rPr>
                <w:sz w:val="20"/>
                <w:szCs w:val="20"/>
                <w:color w:val="auto"/>
              </w:rPr>
            </w:pPr>
            <w:r>
              <w:rPr>
                <w:rFonts w:ascii="Arial" w:cs="Arial" w:eastAsia="Arial" w:hAnsi="Arial"/>
                <w:sz w:val="16"/>
                <w:szCs w:val="16"/>
                <w:color w:val="auto"/>
              </w:rPr>
              <w:t>Accounts receivable, net of allowances of $2,044 and $2,281, respectively</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23,860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20,589</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22,536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18,234</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228,098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241,923</w:t>
            </w:r>
          </w:p>
        </w:tc>
        <w:tc>
          <w:tcPr>
            <w:tcW w:w="0" w:type="dxa"/>
            <w:vAlign w:val="bottom"/>
          </w:tcPr>
          <w:p>
            <w:pPr>
              <w:spacing w:after="0"/>
              <w:rPr>
                <w:sz w:val="1"/>
                <w:szCs w:val="1"/>
                <w:color w:val="auto"/>
              </w:rPr>
            </w:pPr>
          </w:p>
        </w:tc>
      </w:tr>
      <w:tr>
        <w:trPr>
          <w:trHeight w:val="21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58,045</w:t>
            </w: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140,705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140,705</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18,152</w:t>
            </w: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13,414</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31,884</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7,399</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473,295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511,522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gridSpan w:val="2"/>
          </w:tcPr>
          <w:p>
            <w:pPr>
              <w:ind w:left="360"/>
              <w:spacing w:after="0"/>
              <w:rPr>
                <w:sz w:val="20"/>
                <w:szCs w:val="20"/>
                <w:color w:val="auto"/>
              </w:rPr>
            </w:pPr>
            <w:r>
              <w:rPr>
                <w:rFonts w:ascii="Arial" w:cs="Arial" w:eastAsia="Arial" w:hAnsi="Arial"/>
                <w:sz w:val="16"/>
                <w:szCs w:val="16"/>
                <w:color w:val="auto"/>
              </w:rPr>
              <w:t>Accounts payable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36,307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27,167</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83,361</w:t>
            </w:r>
          </w:p>
        </w:tc>
        <w:tc>
          <w:tcPr>
            <w:tcW w:w="0" w:type="dxa"/>
            <w:vAlign w:val="bottom"/>
          </w:tcPr>
          <w:p>
            <w:pPr>
              <w:spacing w:after="0"/>
              <w:rPr>
                <w:sz w:val="1"/>
                <w:szCs w:val="1"/>
                <w:color w:val="auto"/>
              </w:rPr>
            </w:pPr>
          </w:p>
        </w:tc>
      </w:tr>
      <w:tr>
        <w:trPr>
          <w:trHeight w:val="215"/>
        </w:trPr>
        <w:tc>
          <w:tcPr>
            <w:tcW w:w="8400" w:type="dxa"/>
            <w:vAlign w:val="bottom"/>
            <w:gridSpan w:val="2"/>
          </w:tcPr>
          <w:p>
            <w:pPr>
              <w:ind w:left="36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219,812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203,653</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0" w:type="dxa"/>
            <w:vAlign w:val="bottom"/>
          </w:tcPr>
          <w:p>
            <w:pPr>
              <w:spacing w:after="0"/>
              <w:rPr>
                <w:sz w:val="1"/>
                <w:szCs w:val="1"/>
                <w:color w:val="auto"/>
              </w:rPr>
            </w:pPr>
          </w:p>
        </w:tc>
      </w:tr>
      <w:tr>
        <w:trPr>
          <w:trHeight w:val="209"/>
        </w:trPr>
        <w:tc>
          <w:tcPr>
            <w:tcW w:w="8400" w:type="dxa"/>
            <w:vAlign w:val="bottom"/>
            <w:gridSpan w:val="2"/>
          </w:tcPr>
          <w:p>
            <w:pPr>
              <w:ind w:left="68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318,138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318,519</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10,025</w:t>
            </w: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10,819</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338,127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339,640</w:t>
            </w:r>
          </w:p>
        </w:tc>
        <w:tc>
          <w:tcPr>
            <w:tcW w:w="0" w:type="dxa"/>
            <w:vAlign w:val="bottom"/>
          </w:tcPr>
          <w:p>
            <w:pPr>
              <w:spacing w:after="0"/>
              <w:rPr>
                <w:sz w:val="1"/>
                <w:szCs w:val="1"/>
                <w:color w:val="auto"/>
              </w:rPr>
            </w:pPr>
          </w:p>
        </w:tc>
      </w:tr>
      <w:tr>
        <w:trPr>
          <w:trHeight w:val="19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6)</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400" w:type="dxa"/>
            <w:vAlign w:val="bottom"/>
            <w:gridSpan w:val="2"/>
            <w:shd w:val="clear" w:color="auto" w:fill="CCEEFF"/>
          </w:tcPr>
          <w:p>
            <w:pPr>
              <w:ind w:left="360"/>
              <w:spacing w:after="0" w:line="163" w:lineRule="exact"/>
              <w:rPr>
                <w:sz w:val="20"/>
                <w:szCs w:val="20"/>
                <w:color w:val="auto"/>
              </w:rPr>
            </w:pPr>
            <w:r>
              <w:rPr>
                <w:rFonts w:ascii="Arial" w:cs="Arial" w:eastAsia="Arial" w:hAnsi="Arial"/>
                <w:sz w:val="16"/>
                <w:szCs w:val="16"/>
                <w:color w:val="auto"/>
              </w:rPr>
              <w:t>Preferred stock, $0.001 par value; 100,000 shares authorized at September 30, 2026 and December 31, 2025,</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none issued or outstanding at September 30, 2026 and December 31, 2025</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gridSpan w:val="2"/>
          </w:tcPr>
          <w:p>
            <w:pPr>
              <w:ind w:left="360"/>
              <w:spacing w:after="0" w:line="162" w:lineRule="exact"/>
              <w:rPr>
                <w:sz w:val="20"/>
                <w:szCs w:val="20"/>
                <w:color w:val="auto"/>
              </w:rPr>
            </w:pPr>
            <w:r>
              <w:rPr>
                <w:rFonts w:ascii="Arial" w:cs="Arial" w:eastAsia="Arial" w:hAnsi="Arial"/>
                <w:sz w:val="16"/>
                <w:szCs w:val="16"/>
                <w:color w:val="auto"/>
              </w:rPr>
              <w:t>Common stock, $0.001 par value; 1,000,000 shares authorized; 166,192 shares and 177,624 shares issued</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5"/>
        </w:trPr>
        <w:tc>
          <w:tcPr>
            <w:tcW w:w="8400" w:type="dxa"/>
            <w:vAlign w:val="bottom"/>
            <w:gridSpan w:val="2"/>
          </w:tcPr>
          <w:p>
            <w:pPr>
              <w:ind w:left="520"/>
              <w:spacing w:after="0"/>
              <w:rPr>
                <w:sz w:val="20"/>
                <w:szCs w:val="20"/>
                <w:color w:val="auto"/>
              </w:rPr>
            </w:pPr>
            <w:r>
              <w:rPr>
                <w:rFonts w:ascii="Arial" w:cs="Arial" w:eastAsia="Arial" w:hAnsi="Arial"/>
                <w:sz w:val="16"/>
                <w:szCs w:val="16"/>
                <w:color w:val="auto"/>
              </w:rPr>
              <w:t>and outstanding at September 30, 2026 and December 31, 2025, respectively</w:t>
            </w: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1,359,127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1,305,936</w:t>
            </w:r>
          </w:p>
        </w:tc>
        <w:tc>
          <w:tcPr>
            <w:tcW w:w="0" w:type="dxa"/>
            <w:vAlign w:val="bottom"/>
          </w:tcPr>
          <w:p>
            <w:pPr>
              <w:spacing w:after="0"/>
              <w:rPr>
                <w:sz w:val="1"/>
                <w:szCs w:val="1"/>
                <w:color w:val="auto"/>
              </w:rPr>
            </w:pPr>
          </w:p>
        </w:tc>
      </w:tr>
      <w:tr>
        <w:trPr>
          <w:trHeight w:val="215"/>
        </w:trPr>
        <w:tc>
          <w:tcPr>
            <w:tcW w:w="8400" w:type="dxa"/>
            <w:vAlign w:val="bottom"/>
            <w:gridSpan w:val="2"/>
          </w:tcPr>
          <w:p>
            <w:pPr>
              <w:ind w:left="36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(1,224,473)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(1,134,414)</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135,168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171,882</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473,295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511,522</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ind w:left="4820"/>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Unaudited Condensed Consolidated Statements of Operations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1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21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4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607,216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565,777</w:t>
            </w:r>
          </w:p>
        </w:tc>
      </w:tr>
      <w:tr>
        <w:trPr>
          <w:trHeight w:val="215"/>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57,083</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62,271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196,970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196,229</w:t>
            </w:r>
          </w:p>
        </w:tc>
      </w:tr>
      <w:tr>
        <w:trPr>
          <w:trHeight w:val="21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410,246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369,548</w:t>
            </w: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198,793</w:t>
            </w: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Technology and development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19,485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53,949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62,442</w:t>
            </w: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110,291</w:t>
            </w: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Gain on sale of assets held for sale</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(14,337)</w:t>
            </w:r>
          </w:p>
        </w:tc>
      </w:tr>
      <w:tr>
        <w:trPr>
          <w:trHeight w:val="210"/>
        </w:trPr>
        <w:tc>
          <w:tcPr>
            <w:tcW w:w="6400" w:type="dxa"/>
            <w:vAlign w:val="bottom"/>
            <w:tcBorders>
              <w:top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124,519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121,394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383,288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357,189</w:t>
            </w: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26,958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12,359</w:t>
            </w: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5,691</w:t>
            </w: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(expense) income, net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w:t>
            </w: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30,828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18,448</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9,078</w:t>
            </w:r>
          </w:p>
        </w:tc>
      </w:tr>
      <w:tr>
        <w:trPr>
          <w:trHeight w:val="210"/>
        </w:trPr>
        <w:tc>
          <w:tcPr>
            <w:tcW w:w="6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9,370</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basic:</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400" w:type="dxa"/>
            <w:vAlign w:val="bottom"/>
          </w:tcPr>
          <w:p>
            <w:pPr>
              <w:ind w:left="20"/>
              <w:spacing w:after="0"/>
              <w:rPr>
                <w:sz w:val="20"/>
                <w:szCs w:val="20"/>
                <w:color w:val="auto"/>
              </w:rPr>
            </w:pPr>
            <w:r>
              <w:rPr>
                <w:rFonts w:ascii="Arial" w:cs="Arial" w:eastAsia="Arial" w:hAnsi="Arial"/>
                <w:sz w:val="16"/>
                <w:szCs w:val="16"/>
                <w:color w:val="auto"/>
              </w:rPr>
              <w:t>Net income per share — diluted: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shares used to compute net income per share — basic:</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167,185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180,057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172,749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179,231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400" w:type="dxa"/>
            <w:vAlign w:val="bottom"/>
          </w:tcPr>
          <w:p>
            <w:pPr>
              <w:ind w:left="20"/>
              <w:spacing w:after="0"/>
              <w:rPr>
                <w:sz w:val="20"/>
                <w:szCs w:val="20"/>
                <w:color w:val="auto"/>
              </w:rPr>
            </w:pPr>
            <w:r>
              <w:rPr>
                <w:rFonts w:ascii="Arial" w:cs="Arial" w:eastAsia="Arial" w:hAnsi="Arial"/>
                <w:sz w:val="16"/>
                <w:szCs w:val="16"/>
                <w:color w:val="auto"/>
              </w:rPr>
              <w:t>Weighted-average shares used to compute net income per share — diluted:</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168,942</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186,731</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175,323</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185,329</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 w:name="page7"/>
    <w:bookmarkEnd w:id="6"/>
    <w:p>
      <w:pPr>
        <w:ind w:left="4820"/>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Unaudited Condensed Consolidated Statements of Comprehensive Income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80" w:type="dxa"/>
            <w:vAlign w:val="bottom"/>
          </w:tcPr>
          <w:p>
            <w:pPr>
              <w:spacing w:after="0"/>
              <w:rPr>
                <w:sz w:val="18"/>
                <w:szCs w:val="18"/>
                <w:color w:val="auto"/>
              </w:rPr>
            </w:pPr>
          </w:p>
        </w:tc>
        <w:tc>
          <w:tcPr>
            <w:tcW w:w="3240" w:type="dxa"/>
            <w:vAlign w:val="bottom"/>
            <w:gridSpan w:val="7"/>
          </w:tcPr>
          <w:p>
            <w:pPr>
              <w:ind w:left="300"/>
              <w:spacing w:after="0"/>
              <w:rPr>
                <w:sz w:val="20"/>
                <w:szCs w:val="20"/>
                <w:color w:val="auto"/>
              </w:rPr>
            </w:pPr>
            <w:r>
              <w:rPr>
                <w:rFonts w:ascii="Arial" w:cs="Arial" w:eastAsia="Arial" w:hAnsi="Arial"/>
                <w:sz w:val="16"/>
                <w:szCs w:val="16"/>
                <w:b w:val="1"/>
                <w:bCs w:val="1"/>
                <w:color w:val="auto"/>
              </w:rPr>
              <w:t>Three Months Ended September 30,</w:t>
            </w:r>
          </w:p>
        </w:tc>
        <w:tc>
          <w:tcPr>
            <w:tcW w:w="282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8,061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9,370</w:t>
            </w:r>
          </w:p>
        </w:tc>
        <w:tc>
          <w:tcPr>
            <w:tcW w:w="0" w:type="dxa"/>
            <w:vAlign w:val="bottom"/>
          </w:tcPr>
          <w:p>
            <w:pPr>
              <w:spacing w:after="0"/>
              <w:rPr>
                <w:sz w:val="1"/>
                <w:szCs w:val="1"/>
                <w:color w:val="auto"/>
              </w:rPr>
            </w:pPr>
          </w:p>
        </w:tc>
      </w:tr>
      <w:tr>
        <w:trPr>
          <w:trHeight w:val="215"/>
        </w:trPr>
        <w:tc>
          <w:tcPr>
            <w:tcW w:w="5180" w:type="dxa"/>
            <w:vAlign w:val="bottom"/>
          </w:tcPr>
          <w:p>
            <w:pPr>
              <w:ind w:left="100"/>
              <w:spacing w:after="0"/>
              <w:rPr>
                <w:sz w:val="20"/>
                <w:szCs w:val="20"/>
                <w:color w:val="auto"/>
              </w:rPr>
            </w:pPr>
            <w:r>
              <w:rPr>
                <w:rFonts w:ascii="Arial" w:cs="Arial" w:eastAsia="Arial" w:hAnsi="Arial"/>
                <w:sz w:val="16"/>
                <w:szCs w:val="16"/>
                <w:color w:val="auto"/>
              </w:rPr>
              <w:t>Other comprehensive income, net of tax:</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foreign currency translation adjustments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5"/>
        </w:trPr>
        <w:tc>
          <w:tcPr>
            <w:tcW w:w="5180" w:type="dxa"/>
            <w:vAlign w:val="bottom"/>
          </w:tcPr>
          <w:p>
            <w:pPr>
              <w:ind w:left="180"/>
              <w:spacing w:after="0"/>
              <w:rPr>
                <w:sz w:val="20"/>
                <w:szCs w:val="20"/>
                <w:color w:val="auto"/>
              </w:rPr>
            </w:pPr>
            <w:r>
              <w:rPr>
                <w:rFonts w:ascii="Arial" w:cs="Arial" w:eastAsia="Arial" w:hAnsi="Arial"/>
                <w:sz w:val="16"/>
                <w:szCs w:val="16"/>
                <w:color w:val="auto"/>
              </w:rPr>
              <w:t>Change in available-for-sale debt security due to unrealized gains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63"/>
        </w:trPr>
        <w:tc>
          <w:tcPr>
            <w:tcW w:w="5180" w:type="dxa"/>
            <w:vAlign w:val="bottom"/>
            <w:shd w:val="clear" w:color="auto" w:fill="CCEEFF"/>
          </w:tcPr>
          <w:p>
            <w:pPr>
              <w:ind w:left="180"/>
              <w:spacing w:after="0" w:line="163" w:lineRule="exact"/>
              <w:rPr>
                <w:sz w:val="20"/>
                <w:szCs w:val="20"/>
                <w:color w:val="auto"/>
              </w:rPr>
            </w:pPr>
            <w:r>
              <w:rPr>
                <w:rFonts w:ascii="Arial" w:cs="Arial" w:eastAsia="Arial" w:hAnsi="Arial"/>
                <w:sz w:val="16"/>
                <w:szCs w:val="16"/>
                <w:color w:val="auto"/>
              </w:rPr>
              <w:t>Reclassification adjustment for net gain on available-for-sale debt</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securities included in net income</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ind w:left="1100"/>
              <w:spacing w:after="0"/>
              <w:rPr>
                <w:sz w:val="20"/>
                <w:szCs w:val="20"/>
                <w:color w:val="auto"/>
              </w:rPr>
            </w:pPr>
            <w:r>
              <w:rPr>
                <w:rFonts w:ascii="Arial" w:cs="Arial" w:eastAsia="Arial" w:hAnsi="Arial"/>
                <w:sz w:val="16"/>
                <w:szCs w:val="16"/>
                <w:color w:val="auto"/>
              </w:rPr>
              <w:t>Total comprehensive income</w:t>
            </w:r>
          </w:p>
        </w:tc>
        <w:tc>
          <w:tcPr>
            <w:tcW w:w="3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8,038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14,513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8,879</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7" w:name="page8"/>
    <w:bookmarkEnd w:id="7"/>
    <w:p>
      <w:pPr>
        <w:ind w:left="4820"/>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auto"/>
        </w:rPr>
        <w:t>Unaudited Condensed Consolidated Statements of Stockholders’ Equity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84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5"/>
                <w:szCs w:val="15"/>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418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0"/>
                <w:szCs w:val="10"/>
                <w:color w:val="auto"/>
              </w:rPr>
            </w:pPr>
          </w:p>
        </w:tc>
        <w:tc>
          <w:tcPr>
            <w:tcW w:w="10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8"/>
                <w:szCs w:val="18"/>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177,624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1,305,936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(1,134,414)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171,882</w:t>
            </w:r>
          </w:p>
        </w:tc>
        <w:tc>
          <w:tcPr>
            <w:tcW w:w="0" w:type="dxa"/>
            <w:vAlign w:val="bottom"/>
          </w:tcPr>
          <w:p>
            <w:pPr>
              <w:spacing w:after="0"/>
              <w:rPr>
                <w:sz w:val="1"/>
                <w:szCs w:val="1"/>
                <w:color w:val="auto"/>
              </w:rPr>
            </w:pPr>
          </w:p>
        </w:tc>
      </w:tr>
      <w:tr>
        <w:trPr>
          <w:trHeight w:val="198"/>
        </w:trPr>
        <w:tc>
          <w:tcPr>
            <w:tcW w:w="4180" w:type="dxa"/>
            <w:vAlign w:val="bottom"/>
          </w:tcPr>
          <w:p>
            <w:pPr>
              <w:ind w:left="360"/>
              <w:spacing w:after="0"/>
              <w:rPr>
                <w:sz w:val="20"/>
                <w:szCs w:val="20"/>
                <w:color w:val="auto"/>
              </w:rPr>
            </w:pPr>
            <w:r>
              <w:rPr>
                <w:rFonts w:ascii="Arial" w:cs="Arial" w:eastAsia="Arial" w:hAnsi="Arial"/>
                <w:sz w:val="14"/>
                <w:szCs w:val="14"/>
                <w:color w:val="auto"/>
              </w:rPr>
              <w:t>Issuance of common stock upon exercise of stock options</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Issuance of common stock upon vesting of restricted</w:t>
            </w: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1,790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1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stock unit awards</w:t>
            </w: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180" w:type="dxa"/>
            <w:vAlign w:val="bottom"/>
          </w:tcPr>
          <w:p>
            <w:pPr>
              <w:ind w:left="360"/>
              <w:spacing w:after="0" w:line="153" w:lineRule="exact"/>
              <w:rPr>
                <w:sz w:val="20"/>
                <w:szCs w:val="20"/>
                <w:color w:val="auto"/>
              </w:rPr>
            </w:pPr>
            <w:r>
              <w:rPr>
                <w:rFonts w:ascii="Arial" w:cs="Arial" w:eastAsia="Arial" w:hAnsi="Arial"/>
                <w:sz w:val="14"/>
                <w:szCs w:val="14"/>
                <w:color w:val="auto"/>
              </w:rPr>
              <w:t>Shares surrendered for settlement of minimum statutory</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(4,886)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(4,887)</w:t>
            </w:r>
          </w:p>
        </w:tc>
        <w:tc>
          <w:tcPr>
            <w:tcW w:w="0" w:type="dxa"/>
            <w:vAlign w:val="bottom"/>
          </w:tcPr>
          <w:p>
            <w:pPr>
              <w:spacing w:after="0"/>
              <w:rPr>
                <w:sz w:val="1"/>
                <w:szCs w:val="1"/>
                <w:color w:val="auto"/>
              </w:rPr>
            </w:pPr>
          </w:p>
        </w:tc>
      </w:tr>
      <w:tr>
        <w:trPr>
          <w:trHeight w:val="185"/>
        </w:trPr>
        <w:tc>
          <w:tcPr>
            <w:tcW w:w="4180" w:type="dxa"/>
            <w:vAlign w:val="bottom"/>
          </w:tcPr>
          <w:p>
            <w:pPr>
              <w:ind w:left="520"/>
              <w:spacing w:after="0"/>
              <w:rPr>
                <w:sz w:val="20"/>
                <w:szCs w:val="20"/>
                <w:color w:val="auto"/>
              </w:rPr>
            </w:pPr>
            <w:r>
              <w:rPr>
                <w:rFonts w:ascii="Arial" w:cs="Arial" w:eastAsia="Arial" w:hAnsi="Arial"/>
                <w:sz w:val="14"/>
                <w:szCs w:val="14"/>
                <w:color w:val="auto"/>
              </w:rPr>
              <w:t>tax withholdings</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22,523</w:t>
            </w:r>
          </w:p>
        </w:tc>
        <w:tc>
          <w:tcPr>
            <w:tcW w:w="0" w:type="dxa"/>
            <w:vAlign w:val="bottom"/>
          </w:tcPr>
          <w:p>
            <w:pPr>
              <w:spacing w:after="0"/>
              <w:rPr>
                <w:sz w:val="1"/>
                <w:szCs w:val="1"/>
                <w:color w:val="auto"/>
              </w:rPr>
            </w:pPr>
          </w:p>
        </w:tc>
      </w:tr>
      <w:tr>
        <w:trPr>
          <w:trHeight w:val="198"/>
        </w:trPr>
        <w:tc>
          <w:tcPr>
            <w:tcW w:w="4180" w:type="dxa"/>
            <w:vAlign w:val="bottom"/>
          </w:tcPr>
          <w:p>
            <w:pPr>
              <w:ind w:left="360"/>
              <w:spacing w:after="0"/>
              <w:rPr>
                <w:sz w:val="20"/>
                <w:szCs w:val="20"/>
                <w:color w:val="auto"/>
              </w:rPr>
            </w:pPr>
            <w:r>
              <w:rPr>
                <w:rFonts w:ascii="Arial" w:cs="Arial" w:eastAsia="Arial" w:hAnsi="Arial"/>
                <w:sz w:val="14"/>
                <w:szCs w:val="14"/>
                <w:color w:val="auto"/>
              </w:rPr>
              <w:t>Repurchased common stock</w:t>
            </w:r>
          </w:p>
        </w:tc>
        <w:tc>
          <w:tcPr>
            <w:tcW w:w="840" w:type="dxa"/>
            <w:vAlign w:val="bottom"/>
          </w:tcPr>
          <w:p>
            <w:pPr>
              <w:jc w:val="right"/>
              <w:spacing w:after="0"/>
              <w:rPr>
                <w:sz w:val="20"/>
                <w:szCs w:val="20"/>
                <w:color w:val="auto"/>
              </w:rPr>
            </w:pPr>
            <w:r>
              <w:rPr>
                <w:rFonts w:ascii="Arial" w:cs="Arial" w:eastAsia="Arial" w:hAnsi="Arial"/>
                <w:sz w:val="14"/>
                <w:szCs w:val="14"/>
                <w:color w:val="auto"/>
              </w:rPr>
              <w:t>(5,320)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(43,462)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(43,467)</w:t>
            </w: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repurchase excise tax</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98"/>
        </w:trPr>
        <w:tc>
          <w:tcPr>
            <w:tcW w:w="4180" w:type="dxa"/>
            <w:vAlign w:val="bottom"/>
          </w:tcPr>
          <w:p>
            <w:pPr>
              <w:ind w:left="36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200"/>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2026</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173,402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1,323,587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(1,177,128)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146,908</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180" w:type="dxa"/>
            <w:vAlign w:val="bottom"/>
            <w:shd w:val="clear" w:color="auto" w:fill="CCEEFF"/>
          </w:tcPr>
          <w:p>
            <w:pPr>
              <w:ind w:left="360"/>
              <w:spacing w:after="0" w:line="120" w:lineRule="exact"/>
              <w:rPr>
                <w:sz w:val="20"/>
                <w:szCs w:val="20"/>
                <w:color w:val="auto"/>
              </w:rPr>
            </w:pPr>
            <w:r>
              <w:rPr>
                <w:rFonts w:ascii="Arial" w:cs="Arial" w:eastAsia="Arial" w:hAnsi="Arial"/>
                <w:sz w:val="13"/>
                <w:szCs w:val="13"/>
                <w:color w:val="auto"/>
              </w:rPr>
              <w:t>Issuance of common stock upon exercise of stock options</w:t>
            </w: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85"/>
        </w:trPr>
        <w:tc>
          <w:tcPr>
            <w:tcW w:w="41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and ESPP</w:t>
            </w: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180" w:type="dxa"/>
            <w:vAlign w:val="bottom"/>
          </w:tcPr>
          <w:p>
            <w:pPr>
              <w:ind w:left="360"/>
              <w:spacing w:after="0" w:line="153" w:lineRule="exact"/>
              <w:rPr>
                <w:sz w:val="20"/>
                <w:szCs w:val="20"/>
                <w:color w:val="auto"/>
              </w:rPr>
            </w:pPr>
            <w:r>
              <w:rPr>
                <w:rFonts w:ascii="Arial" w:cs="Arial" w:eastAsia="Arial" w:hAnsi="Arial"/>
                <w:sz w:val="14"/>
                <w:szCs w:val="14"/>
                <w:color w:val="auto"/>
              </w:rPr>
              <w:t>Issuance of common stock upon vesting of restricted</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180" w:type="dxa"/>
            <w:vAlign w:val="bottom"/>
          </w:tcPr>
          <w:p>
            <w:pPr>
              <w:ind w:left="520"/>
              <w:spacing w:after="0"/>
              <w:rPr>
                <w:sz w:val="20"/>
                <w:szCs w:val="20"/>
                <w:color w:val="auto"/>
              </w:rPr>
            </w:pPr>
            <w:r>
              <w:rPr>
                <w:rFonts w:ascii="Arial" w:cs="Arial" w:eastAsia="Arial" w:hAnsi="Arial"/>
                <w:sz w:val="14"/>
                <w:szCs w:val="14"/>
                <w:color w:val="auto"/>
              </w:rPr>
              <w:t>stock unit awards</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Shares surrendered for settlement of minimum statutory</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(4,571)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(4,572)</w:t>
            </w:r>
          </w:p>
        </w:tc>
        <w:tc>
          <w:tcPr>
            <w:tcW w:w="0" w:type="dxa"/>
            <w:vAlign w:val="bottom"/>
          </w:tcPr>
          <w:p>
            <w:pPr>
              <w:spacing w:after="0"/>
              <w:rPr>
                <w:sz w:val="1"/>
                <w:szCs w:val="1"/>
                <w:color w:val="auto"/>
              </w:rPr>
            </w:pPr>
          </w:p>
        </w:tc>
      </w:tr>
      <w:tr>
        <w:trPr>
          <w:trHeight w:val="185"/>
        </w:trPr>
        <w:tc>
          <w:tcPr>
            <w:tcW w:w="41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tax withholdings</w:t>
            </w: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24,957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24,957</w:t>
            </w: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Repurchased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(45,543)</w:t>
            </w:r>
          </w:p>
        </w:tc>
        <w:tc>
          <w:tcPr>
            <w:tcW w:w="0" w:type="dxa"/>
            <w:vAlign w:val="bottom"/>
          </w:tcPr>
          <w:p>
            <w:pPr>
              <w:spacing w:after="0"/>
              <w:rPr>
                <w:sz w:val="1"/>
                <w:szCs w:val="1"/>
                <w:color w:val="auto"/>
              </w:rPr>
            </w:pPr>
          </w:p>
        </w:tc>
      </w:tr>
      <w:tr>
        <w:trPr>
          <w:trHeight w:val="198"/>
        </w:trPr>
        <w:tc>
          <w:tcPr>
            <w:tcW w:w="4180" w:type="dxa"/>
            <w:vAlign w:val="bottom"/>
          </w:tcPr>
          <w:p>
            <w:pPr>
              <w:ind w:left="360"/>
              <w:spacing w:after="0"/>
              <w:rPr>
                <w:sz w:val="20"/>
                <w:szCs w:val="20"/>
                <w:color w:val="auto"/>
              </w:rPr>
            </w:pPr>
            <w:r>
              <w:rPr>
                <w:rFonts w:ascii="Arial" w:cs="Arial" w:eastAsia="Arial" w:hAnsi="Arial"/>
                <w:sz w:val="14"/>
                <w:szCs w:val="14"/>
                <w:color w:val="auto"/>
              </w:rPr>
              <w:t>Stock repurchase excise tax</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98"/>
        </w:trPr>
        <w:tc>
          <w:tcPr>
            <w:tcW w:w="418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5,183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5,183</w:t>
            </w:r>
          </w:p>
        </w:tc>
        <w:tc>
          <w:tcPr>
            <w:tcW w:w="0" w:type="dxa"/>
            <w:vAlign w:val="bottom"/>
          </w:tcPr>
          <w:p>
            <w:pPr>
              <w:spacing w:after="0"/>
              <w:rPr>
                <w:sz w:val="1"/>
                <w:szCs w:val="1"/>
                <w:color w:val="auto"/>
              </w:rPr>
            </w:pPr>
          </w:p>
        </w:tc>
      </w:tr>
      <w:tr>
        <w:trPr>
          <w:trHeight w:val="198"/>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2026</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167,451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1,344,473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(1,217,855)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127,156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360"/>
              <w:spacing w:after="0" w:line="140" w:lineRule="exact"/>
              <w:rPr>
                <w:sz w:val="20"/>
                <w:szCs w:val="20"/>
                <w:color w:val="auto"/>
              </w:rPr>
            </w:pPr>
            <w:r>
              <w:rPr>
                <w:rFonts w:ascii="Arial" w:cs="Arial" w:eastAsia="Arial" w:hAnsi="Arial"/>
                <w:sz w:val="14"/>
                <w:szCs w:val="14"/>
                <w:color w:val="auto"/>
              </w:rPr>
              <w:t>Issuance of common stock upon vesting of restricted</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180" w:type="dxa"/>
            <w:vAlign w:val="bottom"/>
            <w:vMerge w:val="continue"/>
          </w:tcPr>
          <w:p>
            <w:pPr>
              <w:spacing w:after="0"/>
              <w:rPr>
                <w:sz w:val="8"/>
                <w:szCs w:val="8"/>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2,125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8"/>
                <w:szCs w:val="8"/>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8"/>
                <w:szCs w:val="8"/>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180" w:type="dxa"/>
            <w:vAlign w:val="bottom"/>
          </w:tcPr>
          <w:p>
            <w:pPr>
              <w:ind w:left="520"/>
              <w:spacing w:after="0"/>
              <w:rPr>
                <w:sz w:val="20"/>
                <w:szCs w:val="20"/>
                <w:color w:val="auto"/>
              </w:rPr>
            </w:pPr>
            <w:r>
              <w:rPr>
                <w:rFonts w:ascii="Arial" w:cs="Arial" w:eastAsia="Arial" w:hAnsi="Arial"/>
                <w:sz w:val="14"/>
                <w:szCs w:val="14"/>
                <w:color w:val="auto"/>
              </w:rPr>
              <w:t>stock unit awards</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Shares surrendered for settlement of minimum statutory</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(5,381)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(5,382)</w:t>
            </w:r>
          </w:p>
        </w:tc>
        <w:tc>
          <w:tcPr>
            <w:tcW w:w="0" w:type="dxa"/>
            <w:vAlign w:val="bottom"/>
          </w:tcPr>
          <w:p>
            <w:pPr>
              <w:spacing w:after="0"/>
              <w:rPr>
                <w:sz w:val="1"/>
                <w:szCs w:val="1"/>
                <w:color w:val="auto"/>
              </w:rPr>
            </w:pPr>
          </w:p>
        </w:tc>
      </w:tr>
      <w:tr>
        <w:trPr>
          <w:trHeight w:val="185"/>
        </w:trPr>
        <w:tc>
          <w:tcPr>
            <w:tcW w:w="41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tax withholdings</w:t>
            </w: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8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20,037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20,037</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Repurchased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(14,610)</w:t>
            </w:r>
          </w:p>
        </w:tc>
        <w:tc>
          <w:tcPr>
            <w:tcW w:w="0" w:type="dxa"/>
            <w:vAlign w:val="bottom"/>
          </w:tcPr>
          <w:p>
            <w:pPr>
              <w:spacing w:after="0"/>
              <w:rPr>
                <w:sz w:val="1"/>
                <w:szCs w:val="1"/>
                <w:color w:val="auto"/>
              </w:rPr>
            </w:pPr>
          </w:p>
        </w:tc>
      </w:tr>
      <w:tr>
        <w:trPr>
          <w:trHeight w:val="199"/>
        </w:trPr>
        <w:tc>
          <w:tcPr>
            <w:tcW w:w="4180" w:type="dxa"/>
            <w:vAlign w:val="bottom"/>
          </w:tcPr>
          <w:p>
            <w:pPr>
              <w:ind w:left="360"/>
              <w:spacing w:after="0"/>
              <w:rPr>
                <w:sz w:val="20"/>
                <w:szCs w:val="20"/>
                <w:color w:val="auto"/>
              </w:rPr>
            </w:pPr>
            <w:r>
              <w:rPr>
                <w:rFonts w:ascii="Arial" w:cs="Arial" w:eastAsia="Arial" w:hAnsi="Arial"/>
                <w:sz w:val="14"/>
                <w:szCs w:val="14"/>
                <w:color w:val="auto"/>
              </w:rPr>
              <w:t>Stock repurchase excise tax</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8"/>
        </w:trPr>
        <w:tc>
          <w:tcPr>
            <w:tcW w:w="418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8,061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8,061</w:t>
            </w:r>
          </w:p>
        </w:tc>
        <w:tc>
          <w:tcPr>
            <w:tcW w:w="0" w:type="dxa"/>
            <w:vAlign w:val="bottom"/>
          </w:tcPr>
          <w:p>
            <w:pPr>
              <w:spacing w:after="0"/>
              <w:rPr>
                <w:sz w:val="1"/>
                <w:szCs w:val="1"/>
                <w:color w:val="auto"/>
              </w:rPr>
            </w:pPr>
          </w:p>
        </w:tc>
      </w:tr>
      <w:tr>
        <w:trPr>
          <w:trHeight w:val="225"/>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2026</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166,192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1,359,127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(1,224,473)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135,168</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82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5"/>
                <w:szCs w:val="15"/>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420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0"/>
                <w:szCs w:val="10"/>
                <w:color w:val="auto"/>
              </w:rPr>
            </w:pPr>
          </w:p>
        </w:tc>
        <w:tc>
          <w:tcPr>
            <w:tcW w:w="10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6"/>
        </w:trPr>
        <w:tc>
          <w:tcPr>
            <w:tcW w:w="42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20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8"/>
                <w:szCs w:val="18"/>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173,619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1,161,538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(1,069,317)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93,257</w:t>
            </w:r>
          </w:p>
        </w:tc>
        <w:tc>
          <w:tcPr>
            <w:tcW w:w="0" w:type="dxa"/>
            <w:vAlign w:val="bottom"/>
          </w:tcPr>
          <w:p>
            <w:pPr>
              <w:spacing w:after="0"/>
              <w:rPr>
                <w:sz w:val="1"/>
                <w:szCs w:val="1"/>
                <w:color w:val="auto"/>
              </w:rPr>
            </w:pPr>
          </w:p>
        </w:tc>
      </w:tr>
      <w:tr>
        <w:trPr>
          <w:trHeight w:val="198"/>
        </w:trPr>
        <w:tc>
          <w:tcPr>
            <w:tcW w:w="4200" w:type="dxa"/>
            <w:vAlign w:val="bottom"/>
          </w:tcPr>
          <w:p>
            <w:pPr>
              <w:ind w:left="240"/>
              <w:spacing w:after="0"/>
              <w:rPr>
                <w:sz w:val="20"/>
                <w:szCs w:val="20"/>
                <w:color w:val="auto"/>
              </w:rPr>
            </w:pPr>
            <w:r>
              <w:rPr>
                <w:rFonts w:ascii="Arial" w:cs="Arial" w:eastAsia="Arial" w:hAnsi="Arial"/>
                <w:sz w:val="14"/>
                <w:szCs w:val="14"/>
                <w:color w:val="auto"/>
              </w:rPr>
              <w:t>Issuance of common stock upon exercise of stock options</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43,543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43,547</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Issuance of common stock upon vesting of restricted stock</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1,525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2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unit awards</w:t>
            </w: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200" w:type="dxa"/>
            <w:vAlign w:val="bottom"/>
          </w:tcPr>
          <w:p>
            <w:pPr>
              <w:ind w:left="240"/>
              <w:spacing w:after="0" w:line="153" w:lineRule="exact"/>
              <w:rPr>
                <w:sz w:val="20"/>
                <w:szCs w:val="20"/>
                <w:color w:val="auto"/>
              </w:rPr>
            </w:pPr>
            <w:r>
              <w:rPr>
                <w:rFonts w:ascii="Arial" w:cs="Arial" w:eastAsia="Arial" w:hAnsi="Arial"/>
                <w:sz w:val="14"/>
                <w:szCs w:val="14"/>
                <w:color w:val="auto"/>
              </w:rPr>
              <w:t>Shares surrendered for settlement of minimum statutory tax</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(5,941)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(5,942)</w:t>
            </w:r>
          </w:p>
        </w:tc>
        <w:tc>
          <w:tcPr>
            <w:tcW w:w="0" w:type="dxa"/>
            <w:vAlign w:val="bottom"/>
          </w:tcPr>
          <w:p>
            <w:pPr>
              <w:spacing w:after="0"/>
              <w:rPr>
                <w:sz w:val="1"/>
                <w:szCs w:val="1"/>
                <w:color w:val="auto"/>
              </w:rPr>
            </w:pPr>
          </w:p>
        </w:tc>
      </w:tr>
      <w:tr>
        <w:trPr>
          <w:trHeight w:val="185"/>
        </w:trPr>
        <w:tc>
          <w:tcPr>
            <w:tcW w:w="4200" w:type="dxa"/>
            <w:vAlign w:val="bottom"/>
          </w:tcPr>
          <w:p>
            <w:pPr>
              <w:ind w:left="400"/>
              <w:spacing w:after="0"/>
              <w:rPr>
                <w:sz w:val="20"/>
                <w:szCs w:val="20"/>
                <w:color w:val="auto"/>
              </w:rPr>
            </w:pPr>
            <w:r>
              <w:rPr>
                <w:rFonts w:ascii="Arial" w:cs="Arial" w:eastAsia="Arial" w:hAnsi="Arial"/>
                <w:sz w:val="14"/>
                <w:szCs w:val="14"/>
                <w:color w:val="auto"/>
              </w:rPr>
              <w:t>withholdings</w:t>
            </w: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31,096</w:t>
            </w:r>
          </w:p>
        </w:tc>
        <w:tc>
          <w:tcPr>
            <w:tcW w:w="0" w:type="dxa"/>
            <w:vAlign w:val="bottom"/>
          </w:tcPr>
          <w:p>
            <w:pPr>
              <w:spacing w:after="0"/>
              <w:rPr>
                <w:sz w:val="1"/>
                <w:szCs w:val="1"/>
                <w:color w:val="auto"/>
              </w:rPr>
            </w:pPr>
          </w:p>
        </w:tc>
      </w:tr>
      <w:tr>
        <w:trPr>
          <w:trHeight w:val="198"/>
        </w:trPr>
        <w:tc>
          <w:tcPr>
            <w:tcW w:w="4200" w:type="dxa"/>
            <w:vAlign w:val="bottom"/>
          </w:tcPr>
          <w:p>
            <w:pPr>
              <w:ind w:left="240"/>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for acquisition</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20,047</w:t>
            </w:r>
          </w:p>
        </w:tc>
        <w:tc>
          <w:tcPr>
            <w:tcW w:w="0" w:type="dxa"/>
            <w:vAlign w:val="bottom"/>
          </w:tcPr>
          <w:p>
            <w:pPr>
              <w:spacing w:after="0"/>
              <w:rPr>
                <w:sz w:val="1"/>
                <w:szCs w:val="1"/>
                <w:color w:val="auto"/>
              </w:rPr>
            </w:pPr>
          </w:p>
        </w:tc>
      </w:tr>
      <w:tr>
        <w:trPr>
          <w:trHeight w:val="198"/>
        </w:trPr>
        <w:tc>
          <w:tcPr>
            <w:tcW w:w="42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5,127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5,127</w:t>
            </w:r>
          </w:p>
        </w:tc>
        <w:tc>
          <w:tcPr>
            <w:tcW w:w="0" w:type="dxa"/>
            <w:vAlign w:val="bottom"/>
          </w:tcPr>
          <w:p>
            <w:pPr>
              <w:spacing w:after="0"/>
              <w:rPr>
                <w:sz w:val="1"/>
                <w:szCs w:val="1"/>
                <w:color w:val="auto"/>
              </w:rPr>
            </w:pPr>
          </w:p>
        </w:tc>
      </w:tr>
      <w:tr>
        <w:trPr>
          <w:trHeight w:val="225"/>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2025</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181,177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1,250,279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(1,064,190)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187,212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40"/>
              <w:spacing w:after="0" w:line="140" w:lineRule="exact"/>
              <w:rPr>
                <w:sz w:val="20"/>
                <w:szCs w:val="20"/>
                <w:color w:val="auto"/>
              </w:rPr>
            </w:pPr>
            <w:r>
              <w:rPr>
                <w:rFonts w:ascii="Arial" w:cs="Arial" w:eastAsia="Arial" w:hAnsi="Arial"/>
                <w:sz w:val="14"/>
                <w:szCs w:val="14"/>
                <w:color w:val="auto"/>
              </w:rPr>
              <w:t>Issuance of common stock upon exercise of stock options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200" w:type="dxa"/>
            <w:vAlign w:val="bottom"/>
            <w:vMerge w:val="continue"/>
          </w:tcPr>
          <w:p>
            <w:pPr>
              <w:spacing w:after="0"/>
              <w:rPr>
                <w:sz w:val="8"/>
                <w:szCs w:val="8"/>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8"/>
                <w:szCs w:val="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1,117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8"/>
                <w:szCs w:val="8"/>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8"/>
                <w:szCs w:val="8"/>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185"/>
        </w:trPr>
        <w:tc>
          <w:tcPr>
            <w:tcW w:w="4200" w:type="dxa"/>
            <w:vAlign w:val="bottom"/>
          </w:tcPr>
          <w:p>
            <w:pPr>
              <w:ind w:left="400"/>
              <w:spacing w:after="0"/>
              <w:rPr>
                <w:sz w:val="20"/>
                <w:szCs w:val="20"/>
                <w:color w:val="auto"/>
              </w:rPr>
            </w:pPr>
            <w:r>
              <w:rPr>
                <w:rFonts w:ascii="Arial" w:cs="Arial" w:eastAsia="Arial" w:hAnsi="Arial"/>
                <w:sz w:val="14"/>
                <w:szCs w:val="14"/>
                <w:color w:val="auto"/>
              </w:rPr>
              <w:t>and ESPP</w:t>
            </w: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20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Issuance of common stock upon vesting of restricted stock</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1,509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2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unit awards</w:t>
            </w: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200" w:type="dxa"/>
            <w:vAlign w:val="bottom"/>
          </w:tcPr>
          <w:p>
            <w:pPr>
              <w:ind w:left="240"/>
              <w:spacing w:after="0" w:line="153" w:lineRule="exact"/>
              <w:rPr>
                <w:sz w:val="20"/>
                <w:szCs w:val="20"/>
                <w:color w:val="auto"/>
              </w:rPr>
            </w:pPr>
            <w:r>
              <w:rPr>
                <w:rFonts w:ascii="Arial" w:cs="Arial" w:eastAsia="Arial" w:hAnsi="Arial"/>
                <w:sz w:val="14"/>
                <w:szCs w:val="14"/>
                <w:color w:val="auto"/>
              </w:rPr>
              <w:t>Shares surrendered for settlement of minimum statutory tax</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(5,229)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(5,230)</w:t>
            </w:r>
          </w:p>
        </w:tc>
        <w:tc>
          <w:tcPr>
            <w:tcW w:w="0" w:type="dxa"/>
            <w:vAlign w:val="bottom"/>
          </w:tcPr>
          <w:p>
            <w:pPr>
              <w:spacing w:after="0"/>
              <w:rPr>
                <w:sz w:val="1"/>
                <w:szCs w:val="1"/>
                <w:color w:val="auto"/>
              </w:rPr>
            </w:pPr>
          </w:p>
        </w:tc>
      </w:tr>
      <w:tr>
        <w:trPr>
          <w:trHeight w:val="185"/>
        </w:trPr>
        <w:tc>
          <w:tcPr>
            <w:tcW w:w="4200" w:type="dxa"/>
            <w:vAlign w:val="bottom"/>
          </w:tcPr>
          <w:p>
            <w:pPr>
              <w:ind w:left="400"/>
              <w:spacing w:after="0"/>
              <w:rPr>
                <w:sz w:val="20"/>
                <w:szCs w:val="20"/>
                <w:color w:val="auto"/>
              </w:rPr>
            </w:pPr>
            <w:r>
              <w:rPr>
                <w:rFonts w:ascii="Arial" w:cs="Arial" w:eastAsia="Arial" w:hAnsi="Arial"/>
                <w:sz w:val="14"/>
                <w:szCs w:val="14"/>
                <w:color w:val="auto"/>
              </w:rPr>
              <w:t>withholdings</w:t>
            </w: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32,218</w:t>
            </w:r>
          </w:p>
        </w:tc>
        <w:tc>
          <w:tcPr>
            <w:tcW w:w="0" w:type="dxa"/>
            <w:vAlign w:val="bottom"/>
          </w:tcPr>
          <w:p>
            <w:pPr>
              <w:spacing w:after="0"/>
              <w:rPr>
                <w:sz w:val="1"/>
                <w:szCs w:val="1"/>
                <w:color w:val="auto"/>
              </w:rPr>
            </w:pPr>
          </w:p>
        </w:tc>
      </w:tr>
      <w:tr>
        <w:trPr>
          <w:trHeight w:val="198"/>
        </w:trPr>
        <w:tc>
          <w:tcPr>
            <w:tcW w:w="4200" w:type="dxa"/>
            <w:vAlign w:val="bottom"/>
          </w:tcPr>
          <w:p>
            <w:pPr>
              <w:ind w:left="240"/>
              <w:spacing w:after="0"/>
              <w:rPr>
                <w:sz w:val="20"/>
                <w:szCs w:val="20"/>
                <w:color w:val="auto"/>
              </w:rPr>
            </w:pPr>
            <w:r>
              <w:rPr>
                <w:rFonts w:ascii="Arial" w:cs="Arial" w:eastAsia="Arial" w:hAnsi="Arial"/>
                <w:sz w:val="14"/>
                <w:szCs w:val="14"/>
                <w:color w:val="auto"/>
              </w:rPr>
              <w:t>Repurchased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(2,188)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(20,417)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(20,419)</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99"/>
        </w:trPr>
        <w:tc>
          <w:tcPr>
            <w:tcW w:w="42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25"/>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180,081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1,278,383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(1,084,873)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194,052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4"/>
                <w:szCs w:val="14"/>
                <w:color w:val="auto"/>
              </w:rPr>
              <w:t>Issuance of common stock upon exercise of stock options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200" w:type="dxa"/>
            <w:vAlign w:val="bottom"/>
            <w:vMerge w:val="continue"/>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Issuance of common stock upon vesting of restricted stock</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2,037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2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unit awards</w:t>
            </w: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200" w:type="dxa"/>
            <w:vAlign w:val="bottom"/>
          </w:tcPr>
          <w:p>
            <w:pPr>
              <w:ind w:left="240"/>
              <w:spacing w:after="0" w:line="153" w:lineRule="exact"/>
              <w:rPr>
                <w:sz w:val="20"/>
                <w:szCs w:val="20"/>
                <w:color w:val="auto"/>
              </w:rPr>
            </w:pPr>
            <w:r>
              <w:rPr>
                <w:rFonts w:ascii="Arial" w:cs="Arial" w:eastAsia="Arial" w:hAnsi="Arial"/>
                <w:sz w:val="14"/>
                <w:szCs w:val="14"/>
                <w:color w:val="auto"/>
              </w:rPr>
              <w:t>Shares surrendered for settlement of minimum statutory tax</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(8,791)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(8,791)</w:t>
            </w:r>
          </w:p>
        </w:tc>
        <w:tc>
          <w:tcPr>
            <w:tcW w:w="0" w:type="dxa"/>
            <w:vAlign w:val="bottom"/>
          </w:tcPr>
          <w:p>
            <w:pPr>
              <w:spacing w:after="0"/>
              <w:rPr>
                <w:sz w:val="1"/>
                <w:szCs w:val="1"/>
                <w:color w:val="auto"/>
              </w:rPr>
            </w:pPr>
          </w:p>
        </w:tc>
      </w:tr>
      <w:tr>
        <w:trPr>
          <w:trHeight w:val="185"/>
        </w:trPr>
        <w:tc>
          <w:tcPr>
            <w:tcW w:w="4200" w:type="dxa"/>
            <w:vAlign w:val="bottom"/>
          </w:tcPr>
          <w:p>
            <w:pPr>
              <w:ind w:left="400"/>
              <w:spacing w:after="0"/>
              <w:rPr>
                <w:sz w:val="20"/>
                <w:szCs w:val="20"/>
                <w:color w:val="auto"/>
              </w:rPr>
            </w:pPr>
            <w:r>
              <w:rPr>
                <w:rFonts w:ascii="Arial" w:cs="Arial" w:eastAsia="Arial" w:hAnsi="Arial"/>
                <w:sz w:val="14"/>
                <w:szCs w:val="14"/>
                <w:color w:val="auto"/>
              </w:rPr>
              <w:t>withholdings</w:t>
            </w: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29,703</w:t>
            </w:r>
          </w:p>
        </w:tc>
        <w:tc>
          <w:tcPr>
            <w:tcW w:w="0" w:type="dxa"/>
            <w:vAlign w:val="bottom"/>
          </w:tcPr>
          <w:p>
            <w:pPr>
              <w:spacing w:after="0"/>
              <w:rPr>
                <w:sz w:val="1"/>
                <w:szCs w:val="1"/>
                <w:color w:val="auto"/>
              </w:rPr>
            </w:pPr>
          </w:p>
        </w:tc>
      </w:tr>
      <w:tr>
        <w:trPr>
          <w:trHeight w:val="198"/>
        </w:trPr>
        <w:tc>
          <w:tcPr>
            <w:tcW w:w="4200" w:type="dxa"/>
            <w:vAlign w:val="bottom"/>
          </w:tcPr>
          <w:p>
            <w:pPr>
              <w:ind w:left="240"/>
              <w:spacing w:after="0"/>
              <w:rPr>
                <w:sz w:val="20"/>
                <w:szCs w:val="20"/>
                <w:color w:val="auto"/>
              </w:rPr>
            </w:pPr>
            <w:r>
              <w:rPr>
                <w:rFonts w:ascii="Arial" w:cs="Arial" w:eastAsia="Arial" w:hAnsi="Arial"/>
                <w:sz w:val="14"/>
                <w:szCs w:val="14"/>
                <w:color w:val="auto"/>
              </w:rPr>
              <w:t>Repurchased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(1,772)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(17,564)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(17,566)</w:t>
            </w: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420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4,509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4,509</w:t>
            </w:r>
          </w:p>
        </w:tc>
        <w:tc>
          <w:tcPr>
            <w:tcW w:w="0" w:type="dxa"/>
            <w:vAlign w:val="bottom"/>
          </w:tcPr>
          <w:p>
            <w:pPr>
              <w:spacing w:after="0"/>
              <w:rPr>
                <w:sz w:val="1"/>
                <w:szCs w:val="1"/>
                <w:color w:val="auto"/>
              </w:rPr>
            </w:pPr>
          </w:p>
        </w:tc>
      </w:tr>
      <w:tr>
        <w:trPr>
          <w:trHeight w:val="225"/>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2025</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179,515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1,299,298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(1,097,928)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201,921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spacing w:after="0" w:line="198"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r>
      <w:tr>
        <w:trPr>
          <w:trHeight w:val="183"/>
        </w:trPr>
        <w:tc>
          <w:tcPr>
            <w:tcW w:w="8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8"/>
        </w:trPr>
        <w:tc>
          <w:tcPr>
            <w:tcW w:w="8360" w:type="dxa"/>
            <w:vAlign w:val="bottom"/>
          </w:tcPr>
          <w:p>
            <w:pPr>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14,348</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9,370</w:t>
            </w:r>
          </w:p>
        </w:tc>
      </w:tr>
      <w:tr>
        <w:trPr>
          <w:trHeight w:val="206"/>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9"/>
        </w:trPr>
        <w:tc>
          <w:tcPr>
            <w:tcW w:w="836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33,283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33,118</w:t>
            </w:r>
          </w:p>
        </w:tc>
      </w:tr>
      <w:tr>
        <w:trPr>
          <w:trHeight w:val="206"/>
        </w:trPr>
        <w:tc>
          <w:tcPr>
            <w:tcW w:w="8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right-of-use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w:t>
            </w:r>
          </w:p>
        </w:tc>
      </w:tr>
      <w:tr>
        <w:trPr>
          <w:trHeight w:val="199"/>
        </w:trPr>
        <w:tc>
          <w:tcPr>
            <w:tcW w:w="8360" w:type="dxa"/>
            <w:vAlign w:val="bottom"/>
          </w:tcPr>
          <w:p>
            <w:pPr>
              <w:ind w:left="300"/>
              <w:spacing w:after="0"/>
              <w:rPr>
                <w:sz w:val="20"/>
                <w:szCs w:val="20"/>
                <w:color w:val="auto"/>
              </w:rPr>
            </w:pPr>
            <w:r>
              <w:rPr>
                <w:rFonts w:ascii="Arial" w:cs="Arial" w:eastAsia="Arial" w:hAnsi="Arial"/>
                <w:sz w:val="14"/>
                <w:szCs w:val="14"/>
                <w:color w:val="auto"/>
              </w:rPr>
              <w:t>Amortization of debt issuance costs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206"/>
        </w:trPr>
        <w:tc>
          <w:tcPr>
            <w:tcW w:w="8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88,763</w:t>
            </w:r>
          </w:p>
        </w:tc>
      </w:tr>
      <w:tr>
        <w:trPr>
          <w:trHeight w:val="199"/>
        </w:trPr>
        <w:tc>
          <w:tcPr>
            <w:tcW w:w="8360" w:type="dxa"/>
            <w:vAlign w:val="bottom"/>
          </w:tcPr>
          <w:p>
            <w:pPr>
              <w:ind w:left="30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10,482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5,504</w:t>
            </w:r>
          </w:p>
        </w:tc>
      </w:tr>
      <w:tr>
        <w:trPr>
          <w:trHeight w:val="206"/>
        </w:trPr>
        <w:tc>
          <w:tcPr>
            <w:tcW w:w="8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Change in fair value of other equity security</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r>
      <w:tr>
        <w:trPr>
          <w:trHeight w:val="199"/>
        </w:trPr>
        <w:tc>
          <w:tcPr>
            <w:tcW w:w="8360" w:type="dxa"/>
            <w:vAlign w:val="bottom"/>
          </w:tcPr>
          <w:p>
            <w:pPr>
              <w:ind w:left="300"/>
              <w:spacing w:after="0"/>
              <w:rPr>
                <w:sz w:val="20"/>
                <w:szCs w:val="20"/>
                <w:color w:val="auto"/>
              </w:rPr>
            </w:pPr>
            <w:r>
              <w:rPr>
                <w:rFonts w:ascii="Arial" w:cs="Arial" w:eastAsia="Arial" w:hAnsi="Arial"/>
                <w:sz w:val="14"/>
                <w:szCs w:val="14"/>
                <w:color w:val="auto"/>
              </w:rPr>
              <w:t>Unrealized foreign exchange loss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06"/>
        </w:trPr>
        <w:tc>
          <w:tcPr>
            <w:tcW w:w="8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 on sale of assets held for sale</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(14,337)</w:t>
            </w:r>
          </w:p>
        </w:tc>
      </w:tr>
      <w:tr>
        <w:trPr>
          <w:trHeight w:val="199"/>
        </w:trPr>
        <w:tc>
          <w:tcPr>
            <w:tcW w:w="8360" w:type="dxa"/>
            <w:vAlign w:val="bottom"/>
          </w:tcPr>
          <w:p>
            <w:pPr>
              <w:ind w:left="300"/>
              <w:spacing w:after="0"/>
              <w:rPr>
                <w:sz w:val="20"/>
                <w:szCs w:val="20"/>
                <w:color w:val="auto"/>
              </w:rPr>
            </w:pPr>
            <w:r>
              <w:rPr>
                <w:rFonts w:ascii="Arial" w:cs="Arial" w:eastAsia="Arial" w:hAnsi="Arial"/>
                <w:sz w:val="14"/>
                <w:szCs w:val="14"/>
                <w:color w:val="auto"/>
              </w:rPr>
              <w:t>Gain on sale of available-for-sale debt security</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(648)</w:t>
            </w:r>
          </w:p>
        </w:tc>
      </w:tr>
      <w:tr>
        <w:trPr>
          <w:trHeight w:val="206"/>
        </w:trPr>
        <w:tc>
          <w:tcPr>
            <w:tcW w:w="8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 on disposal of property and equipment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198"/>
        </w:trPr>
        <w:tc>
          <w:tcPr>
            <w:tcW w:w="8360" w:type="dxa"/>
            <w:vAlign w:val="bottom"/>
          </w:tcPr>
          <w:p>
            <w:pPr>
              <w:ind w:left="30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07"/>
        </w:trPr>
        <w:tc>
          <w:tcPr>
            <w:tcW w:w="8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Changes in operating assets and liabilities, net of effects of business combination:</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tcPr>
          <w:p>
            <w:pPr>
              <w:ind w:left="74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(3,273)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(11,659)</w:t>
            </w:r>
          </w:p>
        </w:tc>
      </w:tr>
      <w:tr>
        <w:trPr>
          <w:trHeight w:val="207"/>
        </w:trPr>
        <w:tc>
          <w:tcPr>
            <w:tcW w:w="83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r>
      <w:tr>
        <w:trPr>
          <w:trHeight w:val="198"/>
        </w:trPr>
        <w:tc>
          <w:tcPr>
            <w:tcW w:w="8360" w:type="dxa"/>
            <w:vAlign w:val="bottom"/>
          </w:tcPr>
          <w:p>
            <w:pPr>
              <w:ind w:left="74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1,003</w:t>
            </w:r>
          </w:p>
        </w:tc>
      </w:tr>
      <w:tr>
        <w:trPr>
          <w:trHeight w:val="207"/>
        </w:trPr>
        <w:tc>
          <w:tcPr>
            <w:tcW w:w="83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r>
      <w:tr>
        <w:trPr>
          <w:trHeight w:val="198"/>
        </w:trPr>
        <w:tc>
          <w:tcPr>
            <w:tcW w:w="8360" w:type="dxa"/>
            <w:vAlign w:val="bottom"/>
          </w:tcPr>
          <w:p>
            <w:pPr>
              <w:ind w:left="740"/>
              <w:spacing w:after="0"/>
              <w:rPr>
                <w:sz w:val="20"/>
                <w:szCs w:val="20"/>
                <w:color w:val="auto"/>
              </w:rPr>
            </w:pPr>
            <w:r>
              <w:rPr>
                <w:rFonts w:ascii="Arial" w:cs="Arial" w:eastAsia="Arial" w:hAnsi="Arial"/>
                <w:sz w:val="14"/>
                <w:szCs w:val="14"/>
                <w:color w:val="auto"/>
              </w:rPr>
              <w:t>Accrued expenses and other liabilities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(15,107)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1,425</w:t>
            </w:r>
          </w:p>
        </w:tc>
      </w:tr>
      <w:tr>
        <w:trPr>
          <w:trHeight w:val="207"/>
        </w:trPr>
        <w:tc>
          <w:tcPr>
            <w:tcW w:w="83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Operating lease liabilities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(1,791)</w:t>
            </w:r>
          </w:p>
        </w:tc>
      </w:tr>
      <w:tr>
        <w:trPr>
          <w:trHeight w:val="198"/>
        </w:trPr>
        <w:tc>
          <w:tcPr>
            <w:tcW w:w="8360" w:type="dxa"/>
            <w:vAlign w:val="bottom"/>
          </w:tcPr>
          <w:p>
            <w:pPr>
              <w:ind w:left="740"/>
              <w:spacing w:after="0"/>
              <w:rPr>
                <w:sz w:val="20"/>
                <w:szCs w:val="20"/>
                <w:color w:val="auto"/>
              </w:rPr>
            </w:pPr>
            <w:r>
              <w:rPr>
                <w:rFonts w:ascii="Arial" w:cs="Arial" w:eastAsia="Arial" w:hAnsi="Arial"/>
                <w:sz w:val="14"/>
                <w:szCs w:val="14"/>
                <w:color w:val="auto"/>
              </w:rPr>
              <w:t>Income tax payable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207"/>
        </w:trPr>
        <w:tc>
          <w:tcPr>
            <w:tcW w:w="83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16,092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29,508</w:t>
            </w:r>
          </w:p>
        </w:tc>
      </w:tr>
      <w:tr>
        <w:trPr>
          <w:trHeight w:val="192"/>
        </w:trPr>
        <w:tc>
          <w:tcPr>
            <w:tcW w:w="8360" w:type="dxa"/>
            <w:vAlign w:val="bottom"/>
            <w:tcBorders>
              <w:bottom w:val="single" w:sz="8" w:color="CCEEFF"/>
            </w:tcBorders>
          </w:tcPr>
          <w:p>
            <w:pPr>
              <w:ind w:left="108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126,702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144,068</w:t>
            </w:r>
          </w:p>
        </w:tc>
      </w:tr>
      <w:tr>
        <w:trPr>
          <w:trHeight w:val="187"/>
        </w:trPr>
        <w:tc>
          <w:tcPr>
            <w:tcW w:w="8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8"/>
        </w:trPr>
        <w:tc>
          <w:tcPr>
            <w:tcW w:w="8360" w:type="dxa"/>
            <w:vAlign w:val="bottom"/>
          </w:tcPr>
          <w:p>
            <w:pPr>
              <w:spacing w:after="0"/>
              <w:rPr>
                <w:sz w:val="20"/>
                <w:szCs w:val="20"/>
                <w:color w:val="auto"/>
              </w:rPr>
            </w:pPr>
            <w:r>
              <w:rPr>
                <w:rFonts w:ascii="Arial" w:cs="Arial" w:eastAsia="Arial" w:hAnsi="Arial"/>
                <w:sz w:val="14"/>
                <w:szCs w:val="14"/>
                <w:color w:val="auto"/>
              </w:rPr>
              <w:t>Acquisition, net of cash acquired</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(48,468)</w:t>
            </w:r>
          </w:p>
        </w:tc>
      </w:tr>
      <w:tr>
        <w:trPr>
          <w:trHeight w:val="206"/>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 of assets held for sale</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37,051</w:t>
            </w:r>
          </w:p>
        </w:tc>
      </w:tr>
      <w:tr>
        <w:trPr>
          <w:trHeight w:val="198"/>
        </w:trPr>
        <w:tc>
          <w:tcPr>
            <w:tcW w:w="8360" w:type="dxa"/>
            <w:vAlign w:val="bottom"/>
          </w:tcPr>
          <w:p>
            <w:pPr>
              <w:spacing w:after="0"/>
              <w:rPr>
                <w:sz w:val="20"/>
                <w:szCs w:val="20"/>
                <w:color w:val="auto"/>
              </w:rPr>
            </w:pPr>
            <w:r>
              <w:rPr>
                <w:rFonts w:ascii="Arial" w:cs="Arial" w:eastAsia="Arial" w:hAnsi="Arial"/>
                <w:sz w:val="14"/>
                <w:szCs w:val="14"/>
                <w:color w:val="auto"/>
              </w:rPr>
              <w:t>Proceeds from sale of available-for-sale debt security</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1,507</w:t>
            </w:r>
          </w:p>
        </w:tc>
      </w:tr>
      <w:tr>
        <w:trPr>
          <w:trHeight w:val="207"/>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Purchase of property and equipment</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(17,919)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(24,144)</w:t>
            </w:r>
          </w:p>
        </w:tc>
      </w:tr>
      <w:tr>
        <w:trPr>
          <w:trHeight w:val="192"/>
        </w:trPr>
        <w:tc>
          <w:tcPr>
            <w:tcW w:w="8360" w:type="dxa"/>
            <w:vAlign w:val="bottom"/>
            <w:tcBorders>
              <w:bottom w:val="single" w:sz="8" w:color="CCEEFF"/>
            </w:tcBorders>
          </w:tcPr>
          <w:p>
            <w:pPr>
              <w:ind w:left="108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(34,054)</w:t>
            </w:r>
          </w:p>
        </w:tc>
      </w:tr>
      <w:tr>
        <w:trPr>
          <w:trHeight w:val="187"/>
        </w:trPr>
        <w:tc>
          <w:tcPr>
            <w:tcW w:w="8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8"/>
        </w:trPr>
        <w:tc>
          <w:tcPr>
            <w:tcW w:w="8360" w:type="dxa"/>
            <w:vAlign w:val="bottom"/>
          </w:tcPr>
          <w:p>
            <w:pPr>
              <w:spacing w:after="0"/>
              <w:rPr>
                <w:sz w:val="20"/>
                <w:szCs w:val="20"/>
                <w:color w:val="auto"/>
              </w:rPr>
            </w:pPr>
            <w:r>
              <w:rPr>
                <w:rFonts w:ascii="Arial" w:cs="Arial" w:eastAsia="Arial" w:hAnsi="Arial"/>
                <w:sz w:val="14"/>
                <w:szCs w:val="14"/>
                <w:color w:val="auto"/>
              </w:rPr>
              <w:t>Payment of debt issuance costs</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(841)</w:t>
            </w:r>
          </w:p>
        </w:tc>
      </w:tr>
      <w:tr>
        <w:trPr>
          <w:trHeight w:val="207"/>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Payment of deferred consideration from business acquisition</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360" w:type="dxa"/>
            <w:vAlign w:val="bottom"/>
          </w:tcPr>
          <w:p>
            <w:pPr>
              <w:spacing w:after="0"/>
              <w:rPr>
                <w:sz w:val="20"/>
                <w:szCs w:val="20"/>
                <w:color w:val="auto"/>
              </w:rPr>
            </w:pPr>
            <w:r>
              <w:rPr>
                <w:rFonts w:ascii="Arial" w:cs="Arial" w:eastAsia="Arial" w:hAnsi="Arial"/>
                <w:sz w:val="14"/>
                <w:szCs w:val="14"/>
                <w:color w:val="auto"/>
              </w:rPr>
              <w:t>Proceeds from issuance of stock under employee stock plans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44,662</w:t>
            </w:r>
          </w:p>
        </w:tc>
      </w:tr>
      <w:tr>
        <w:trPr>
          <w:trHeight w:val="207"/>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Repayment of capital lease obligations</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8360" w:type="dxa"/>
            <w:vAlign w:val="bottom"/>
          </w:tcPr>
          <w:p>
            <w:pPr>
              <w:spacing w:after="0"/>
              <w:rPr>
                <w:sz w:val="20"/>
                <w:szCs w:val="20"/>
                <w:color w:val="auto"/>
              </w:rPr>
            </w:pPr>
            <w:r>
              <w:rPr>
                <w:rFonts w:ascii="Arial" w:cs="Arial" w:eastAsia="Arial" w:hAnsi="Arial"/>
                <w:sz w:val="14"/>
                <w:szCs w:val="14"/>
                <w:color w:val="auto"/>
              </w:rPr>
              <w:t>Share repurchase costs (excise tax)</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(1,264)</w:t>
            </w:r>
          </w:p>
        </w:tc>
      </w:tr>
      <w:tr>
        <w:trPr>
          <w:trHeight w:val="207"/>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Repurchase of common stock</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(37,621)</w:t>
            </w:r>
          </w:p>
        </w:tc>
      </w:tr>
      <w:tr>
        <w:trPr>
          <w:trHeight w:val="198"/>
        </w:trPr>
        <w:tc>
          <w:tcPr>
            <w:tcW w:w="8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Shares surrendered for settlement of minimum statutory tax withholding</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(19,965)</w:t>
            </w:r>
          </w:p>
        </w:tc>
      </w:tr>
      <w:tr>
        <w:trPr>
          <w:trHeight w:val="200"/>
        </w:trPr>
        <w:tc>
          <w:tcPr>
            <w:tcW w:w="836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(130,060)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(15,031)</w:t>
            </w:r>
          </w:p>
        </w:tc>
      </w:tr>
      <w:tr>
        <w:trPr>
          <w:trHeight w:val="192"/>
        </w:trPr>
        <w:tc>
          <w:tcPr>
            <w:tcW w:w="8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r>
      <w:tr>
        <w:trPr>
          <w:trHeight w:val="200"/>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Net (decrease) increase in cash and cash equivalents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10" w:name="page11"/>
    <w:bookmarkEnd w:id="10"/>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8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4"/>
        </w:trPr>
        <w:tc>
          <w:tcPr>
            <w:tcW w:w="8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at beginning of the period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203,100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142,064</w:t>
            </w:r>
          </w:p>
        </w:tc>
        <w:tc>
          <w:tcPr>
            <w:tcW w:w="0" w:type="dxa"/>
            <w:vAlign w:val="bottom"/>
          </w:tcPr>
          <w:p>
            <w:pPr>
              <w:spacing w:after="0"/>
              <w:rPr>
                <w:sz w:val="1"/>
                <w:szCs w:val="1"/>
                <w:color w:val="auto"/>
              </w:rPr>
            </w:pPr>
          </w:p>
        </w:tc>
      </w:tr>
      <w:tr>
        <w:trPr>
          <w:trHeight w:val="225"/>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at 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181,702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237,154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Non-cash operating, investing, and financing activities: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Acquisition-related deferred consideration</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12,486</w:t>
            </w:r>
          </w:p>
        </w:tc>
        <w:tc>
          <w:tcPr>
            <w:tcW w:w="0" w:type="dxa"/>
            <w:vAlign w:val="bottom"/>
          </w:tcPr>
          <w:p>
            <w:pPr>
              <w:spacing w:after="0"/>
              <w:rPr>
                <w:sz w:val="1"/>
                <w:szCs w:val="1"/>
                <w:color w:val="auto"/>
              </w:rPr>
            </w:pPr>
          </w:p>
        </w:tc>
      </w:tr>
      <w:tr>
        <w:trPr>
          <w:trHeight w:val="198"/>
        </w:trPr>
        <w:tc>
          <w:tcPr>
            <w:tcW w:w="8360" w:type="dxa"/>
            <w:vAlign w:val="bottom"/>
          </w:tcPr>
          <w:p>
            <w:pPr>
              <w:spacing w:after="0"/>
              <w:rPr>
                <w:sz w:val="20"/>
                <w:szCs w:val="20"/>
                <w:color w:val="auto"/>
              </w:rPr>
            </w:pPr>
            <w:r>
              <w:rPr>
                <w:rFonts w:ascii="Arial" w:cs="Arial" w:eastAsia="Arial" w:hAnsi="Arial"/>
                <w:sz w:val="14"/>
                <w:szCs w:val="14"/>
                <w:color w:val="auto"/>
              </w:rPr>
              <w:t>Accrued stock repurchase excise tax</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Accrued stock repurchase costs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98"/>
        </w:trPr>
        <w:tc>
          <w:tcPr>
            <w:tcW w:w="8360" w:type="dxa"/>
            <w:vAlign w:val="bottom"/>
          </w:tcPr>
          <w:p>
            <w:pPr>
              <w:spacing w:after="0"/>
              <w:rPr>
                <w:sz w:val="20"/>
                <w:szCs w:val="20"/>
                <w:color w:val="auto"/>
              </w:rPr>
            </w:pPr>
            <w:r>
              <w:rPr>
                <w:rFonts w:ascii="Arial" w:cs="Arial" w:eastAsia="Arial" w:hAnsi="Arial"/>
                <w:sz w:val="14"/>
                <w:szCs w:val="14"/>
                <w:color w:val="auto"/>
              </w:rPr>
              <w:t>Issuance of common stock for business acquired</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20,048</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Purchase of property and equipment included in accounts payable and accrued expenses and other current liabilities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r>
        <w:trPr>
          <w:trHeight w:val="198"/>
        </w:trPr>
        <w:tc>
          <w:tcPr>
            <w:tcW w:w="8360" w:type="dxa"/>
            <w:vAlign w:val="bottom"/>
          </w:tcPr>
          <w:p>
            <w:pPr>
              <w:spacing w:after="0"/>
              <w:rPr>
                <w:sz w:val="20"/>
                <w:szCs w:val="20"/>
                <w:color w:val="auto"/>
              </w:rPr>
            </w:pPr>
            <w:r>
              <w:rPr>
                <w:rFonts w:ascii="Arial" w:cs="Arial" w:eastAsia="Arial" w:hAnsi="Arial"/>
                <w:sz w:val="14"/>
                <w:szCs w:val="14"/>
                <w:color w:val="auto"/>
              </w:rPr>
              <w:t>Capitalized stock-based compensation</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4,253</w:t>
            </w:r>
          </w:p>
        </w:tc>
        <w:tc>
          <w:tcPr>
            <w:tcW w:w="0" w:type="dxa"/>
            <w:vAlign w:val="bottom"/>
          </w:tcPr>
          <w:p>
            <w:pPr>
              <w:spacing w:after="0"/>
              <w:rPr>
                <w:sz w:val="1"/>
                <w:szCs w:val="1"/>
                <w:color w:val="auto"/>
              </w:rPr>
            </w:pPr>
          </w:p>
        </w:tc>
      </w:tr>
      <w:tr>
        <w:trPr>
          <w:trHeight w:val="157"/>
        </w:trPr>
        <w:tc>
          <w:tcPr>
            <w:tcW w:w="83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Right-of-use assets obtained in exchange of operating lease liabilities (excluding right-of-use assets acquired as part of business</w:t>
            </w: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5,083</w:t>
            </w:r>
          </w:p>
        </w:tc>
        <w:tc>
          <w:tcPr>
            <w:tcW w:w="0" w:type="dxa"/>
            <w:vAlign w:val="bottom"/>
          </w:tcPr>
          <w:p>
            <w:pPr>
              <w:spacing w:after="0"/>
              <w:rPr>
                <w:sz w:val="1"/>
                <w:szCs w:val="1"/>
                <w:color w:val="auto"/>
              </w:rPr>
            </w:pPr>
          </w:p>
        </w:tc>
      </w:tr>
      <w:tr>
        <w:trPr>
          <w:trHeight w:val="185"/>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acquisition)</w:t>
            </w:r>
          </w:p>
        </w:tc>
        <w:tc>
          <w:tcPr>
            <w:tcW w:w="16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360" w:type="dxa"/>
            <w:vAlign w:val="bottom"/>
          </w:tcPr>
          <w:p>
            <w:pPr>
              <w:spacing w:after="0"/>
              <w:rPr>
                <w:sz w:val="20"/>
                <w:szCs w:val="20"/>
                <w:color w:val="auto"/>
              </w:rPr>
            </w:pPr>
            <w:r>
              <w:rPr>
                <w:rFonts w:ascii="Arial" w:cs="Arial" w:eastAsia="Arial" w:hAnsi="Arial"/>
                <w:sz w:val="14"/>
                <w:szCs w:val="14"/>
                <w:b w:val="1"/>
                <w:bCs w:val="1"/>
                <w:color w:val="auto"/>
              </w:rPr>
              <w:t>Supplemental cash flow data:</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Cash paid during the period for:</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360" w:type="dxa"/>
            <w:vAlign w:val="bottom"/>
          </w:tcPr>
          <w:p>
            <w:pPr>
              <w:ind w:left="340"/>
              <w:spacing w:after="0"/>
              <w:rPr>
                <w:sz w:val="20"/>
                <w:szCs w:val="20"/>
                <w:color w:val="auto"/>
              </w:rPr>
            </w:pPr>
            <w:r>
              <w:rPr>
                <w:rFonts w:ascii="Arial" w:cs="Arial" w:eastAsia="Arial" w:hAnsi="Arial"/>
                <w:sz w:val="14"/>
                <w:szCs w:val="14"/>
                <w:color w:val="auto"/>
              </w:rPr>
              <w:t>Interest on deferred consideration for business acquisition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Description of the Business</w:t>
      </w:r>
    </w:p>
    <w:p>
      <w:pPr>
        <w:spacing w:after="0" w:line="221" w:lineRule="exact"/>
        <w:rPr>
          <w:sz w:val="20"/>
          <w:szCs w:val="20"/>
          <w:color w:val="auto"/>
        </w:rPr>
      </w:pPr>
    </w:p>
    <w:p>
      <w:pPr>
        <w:ind w:right="160" w:firstLine="405"/>
        <w:spacing w:after="0" w:line="304" w:lineRule="auto"/>
        <w:rPr>
          <w:sz w:val="20"/>
          <w:szCs w:val="20"/>
          <w:color w:val="auto"/>
        </w:rPr>
      </w:pPr>
      <w:r>
        <w:rPr>
          <w:rFonts w:ascii="Arial" w:cs="Arial" w:eastAsia="Arial" w:hAnsi="Arial"/>
          <w:sz w:val="16"/>
          <w:szCs w:val="16"/>
          <w:color w:val="auto"/>
        </w:rPr>
        <w:t>LegalZoom.com, Inc. was initially formed as a California corporation in 1999 and reincorporated as a Delaware corporation in 2007. LegalZoom.com, Inc. and its wholly owned subsidiaries are referred to herein as the “Company,” “we,” “us,” or “our.”</w:t>
      </w:r>
    </w:p>
    <w:p>
      <w:pPr>
        <w:spacing w:after="0" w:line="33"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LegalZoom.com, Inc. is a leading online platform for legal services, transforming how individuals and small businesses navigate the legal system. By combining intuitive technology with access to experienced attorneys—whether through our vast independent attorney network or our own law firm—we offer the tools and guidance people need to confidently manage everything from business formation and compliance to intellectual property protection and ongoing business management and legal support. Our ongoing business management services include virtual mail, legal forms, bookkeeping and estate planning services, among others. We operate across all 50 states and in over 3,000 counties in the U.S. With over two decades of experience and millions of customers served, LegalZoom helps individuals and small businesses navigate legal needs with confidence.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235" w:lineRule="exact"/>
        <w:rPr>
          <w:sz w:val="20"/>
          <w:szCs w:val="20"/>
          <w:color w:val="auto"/>
        </w:rPr>
      </w:pPr>
    </w:p>
    <w:p>
      <w:pPr>
        <w:ind w:right="620" w:firstLine="405"/>
        <w:spacing w:after="0" w:line="286" w:lineRule="auto"/>
        <w:rPr>
          <w:sz w:val="20"/>
          <w:szCs w:val="20"/>
          <w:color w:val="auto"/>
        </w:rPr>
      </w:pPr>
      <w:r>
        <w:rPr>
          <w:rFonts w:ascii="Arial" w:cs="Arial" w:eastAsia="Arial" w:hAnsi="Arial"/>
          <w:sz w:val="16"/>
          <w:szCs w:val="16"/>
          <w:color w:val="auto"/>
        </w:rPr>
        <w:t>A summary of the significant accounting policies we follow in the preparation of the accompanying unaudited condensed consolidated financial statements is set forth below.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 and Consolidation</w:t>
      </w:r>
    </w:p>
    <w:p>
      <w:pPr>
        <w:spacing w:after="0" w:line="125" w:lineRule="exact"/>
        <w:rPr>
          <w:sz w:val="20"/>
          <w:szCs w:val="20"/>
          <w:color w:val="auto"/>
        </w:rPr>
      </w:pPr>
    </w:p>
    <w:p>
      <w:pPr>
        <w:ind w:right="20" w:firstLine="405"/>
        <w:spacing w:after="0" w:line="256" w:lineRule="auto"/>
        <w:rPr>
          <w:sz w:val="20"/>
          <w:szCs w:val="20"/>
          <w:color w:val="auto"/>
        </w:rPr>
      </w:pPr>
      <w:r>
        <w:rPr>
          <w:rFonts w:ascii="Arial" w:cs="Arial" w:eastAsia="Arial" w:hAnsi="Arial"/>
          <w:sz w:val="16"/>
          <w:szCs w:val="16"/>
          <w:color w:val="auto"/>
        </w:rPr>
        <w:t xml:space="preserve">The accompanying unaudited condensed consolidated financial statements are presented in accordance with accounting principles generally accepted in the United States of America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and the related notes thereto included in our Annual Report on Form 10-K for the year ended December 31, 2025. The December 31, 2025 unaudited condensed consolidated balance sheet was derived from our audited consolidated financial statements as of that date. Our unaudited condensed consolidated financial statements include, in the opinion of management, all adjustments, consisting of normal and recurring items, necessary for the fair statement of the unaudited condensed consolidated financial statements. All intercompany balances and transactions have been eliminated in consolidation. There have been no significant changes in accounting policies during the nine months ended September 30, 2026 from those disclosed in the audited consolidated financial statements for the year ended December 31, 2025 and the related notes, except as noted below under </w:t>
      </w:r>
      <w:r>
        <w:rPr>
          <w:rFonts w:ascii="Arial" w:cs="Arial" w:eastAsia="Arial" w:hAnsi="Arial"/>
          <w:sz w:val="16"/>
          <w:szCs w:val="16"/>
          <w:i w:val="1"/>
          <w:iCs w:val="1"/>
          <w:color w:val="auto"/>
        </w:rPr>
        <w:t>Recently Adopted Accounting Pronouncements</w:t>
      </w:r>
      <w:r>
        <w:rPr>
          <w:rFonts w:ascii="Arial" w:cs="Arial" w:eastAsia="Arial" w:hAnsi="Arial"/>
          <w:sz w:val="16"/>
          <w:szCs w:val="16"/>
          <w:color w:val="auto"/>
        </w:rPr>
        <w:t>.</w:t>
      </w:r>
    </w:p>
    <w:p>
      <w:pPr>
        <w:spacing w:after="0" w:line="89" w:lineRule="exact"/>
        <w:rPr>
          <w:sz w:val="20"/>
          <w:szCs w:val="20"/>
          <w:color w:val="auto"/>
        </w:rPr>
      </w:pPr>
    </w:p>
    <w:p>
      <w:pPr>
        <w:ind w:right="200" w:firstLine="405"/>
        <w:spacing w:after="0" w:line="286" w:lineRule="auto"/>
        <w:rPr>
          <w:sz w:val="20"/>
          <w:szCs w:val="20"/>
          <w:color w:val="auto"/>
        </w:rPr>
      </w:pPr>
      <w:r>
        <w:rPr>
          <w:rFonts w:ascii="Arial" w:cs="Arial" w:eastAsia="Arial" w:hAnsi="Arial"/>
          <w:sz w:val="16"/>
          <w:szCs w:val="16"/>
          <w:color w:val="auto"/>
        </w:rPr>
        <w:t>The operating results for the three and nine months ended September 30, 2026 are not necessarily indicative of the results expected for the full year ending December 31, 2026.</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w:t>
      </w:r>
    </w:p>
    <w:p>
      <w:pPr>
        <w:spacing w:after="0" w:line="111"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The preparation of unaudited condensed consolidated financial statements in conformity with GAAP requires estimates and assumptions that affect the reported amounts of assets and liabilities, revenue and expenses, and related disclosures of contingent liabilities in the unaudited condensed consolidated financial statements and accompanying notes. Estimates are used for, however not limited to, revenue recognition, sales allowances and expected credit loss allowances, other equity security, recoverability of long-lived assets and goodwill, income taxes, commitments and contingencies, valuation of assets and liabilities acquired in business combinations, and fair value of stock-based compensation. Actual results could differ materially from those estimates. On an ongoing basis, we evaluate the estimates compared to historical experience and other factors including the current economic and regulatory environment, which form the basis for our judgments about the carrying value of assets and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Significant Accounting Policies</w:t>
      </w:r>
    </w:p>
    <w:p>
      <w:pPr>
        <w:spacing w:after="0" w:line="111" w:lineRule="exact"/>
        <w:rPr>
          <w:sz w:val="20"/>
          <w:szCs w:val="20"/>
          <w:color w:val="auto"/>
        </w:rPr>
      </w:pPr>
    </w:p>
    <w:p>
      <w:pPr>
        <w:ind w:right="420" w:firstLine="405"/>
        <w:spacing w:after="0" w:line="286" w:lineRule="auto"/>
        <w:rPr>
          <w:sz w:val="20"/>
          <w:szCs w:val="20"/>
          <w:color w:val="auto"/>
        </w:rPr>
      </w:pPr>
      <w:r>
        <w:rPr>
          <w:rFonts w:ascii="Arial" w:cs="Arial" w:eastAsia="Arial" w:hAnsi="Arial"/>
          <w:sz w:val="16"/>
          <w:szCs w:val="16"/>
          <w:color w:val="auto"/>
        </w:rPr>
        <w:t>Significant accounting policies are detailed in Note 2. Summary of Significant Accounting Policies of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i w:val="1"/>
          <w:iCs w:val="1"/>
          <w:color w:val="auto"/>
        </w:rPr>
        <w:t>Segment and Geographic Information</w:t>
      </w:r>
    </w:p>
    <w:p>
      <w:pPr>
        <w:spacing w:after="0" w:line="111" w:lineRule="exact"/>
        <w:rPr>
          <w:sz w:val="20"/>
          <w:szCs w:val="20"/>
          <w:color w:val="auto"/>
        </w:rPr>
      </w:pPr>
    </w:p>
    <w:p>
      <w:pPr>
        <w:ind w:right="580" w:firstLine="405"/>
        <w:spacing w:after="0" w:line="304" w:lineRule="auto"/>
        <w:rPr>
          <w:sz w:val="20"/>
          <w:szCs w:val="20"/>
          <w:color w:val="auto"/>
        </w:rPr>
      </w:pPr>
      <w:r>
        <w:rPr>
          <w:rFonts w:ascii="Arial" w:cs="Arial" w:eastAsia="Arial" w:hAnsi="Arial"/>
          <w:sz w:val="16"/>
          <w:szCs w:val="16"/>
          <w:color w:val="auto"/>
        </w:rPr>
        <w:t>Our Chief Executive Officer, as the Chief Operating Decision Maker (the “CODM”), organizes our company, manages resource allocations, and measures performance on the basis of our one operating segment. Refer to Note 12 to our unaudited condensed consolidated financial statements.</w:t>
      </w:r>
    </w:p>
    <w:p>
      <w:pPr>
        <w:spacing w:after="0" w:line="33"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Revenue outside of the U.S., based on the location of the customer, represented less than 1% of our revenue for the three and nine months ended September 30, 2026 and 2025. Long-lived tangible assets located outside the U.S. represented approximately 11.4% of total tangible long-lived assets as of September 30, 2026. Long-lived tangible assets located outside the U.S. were immaterial as of December 31, 2025.</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Concentrations of Credit Risk</w:t>
      </w:r>
    </w:p>
    <w:p>
      <w:pPr>
        <w:spacing w:after="0" w:line="125" w:lineRule="exact"/>
        <w:rPr>
          <w:sz w:val="20"/>
          <w:szCs w:val="20"/>
          <w:color w:val="auto"/>
        </w:rPr>
      </w:pPr>
    </w:p>
    <w:p>
      <w:pPr>
        <w:ind w:firstLine="405"/>
        <w:spacing w:after="0" w:line="275" w:lineRule="auto"/>
        <w:rPr>
          <w:sz w:val="20"/>
          <w:szCs w:val="20"/>
          <w:color w:val="auto"/>
        </w:rPr>
      </w:pPr>
      <w:r>
        <w:rPr>
          <w:rFonts w:ascii="Arial" w:cs="Arial" w:eastAsia="Arial" w:hAnsi="Arial"/>
          <w:sz w:val="16"/>
          <w:szCs w:val="16"/>
          <w:color w:val="auto"/>
        </w:rPr>
        <w:t>We maintain accounts in U.S. banks with funds insured by the Federal Deposit Insurance Corporation (the “FDIC”). Our bank accounts may, at times, exceed the FDIC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spacing w:after="0" w:line="56" w:lineRule="exact"/>
        <w:rPr>
          <w:sz w:val="20"/>
          <w:szCs w:val="20"/>
          <w:color w:val="auto"/>
        </w:rPr>
      </w:pPr>
    </w:p>
    <w:p>
      <w:pPr>
        <w:jc w:val="both"/>
        <w:ind w:right="320" w:firstLine="405"/>
        <w:spacing w:after="0" w:line="275" w:lineRule="auto"/>
        <w:rPr>
          <w:sz w:val="20"/>
          <w:szCs w:val="20"/>
          <w:color w:val="auto"/>
        </w:rPr>
      </w:pPr>
      <w:r>
        <w:rPr>
          <w:rFonts w:ascii="Arial" w:cs="Arial" w:eastAsia="Arial" w:hAnsi="Arial"/>
          <w:sz w:val="16"/>
          <w:szCs w:val="16"/>
          <w:color w:val="auto"/>
        </w:rPr>
        <w:t>Due to a large and diverse customer base, no individual customer represented more than 10% of our total revenue for the three and nine months ended September 30, 2026 and 2025. At September 30, 2026, there were two partners with outstanding balances of 10% or more of our total accounts receivable balance. At December 31, 2025, there was one partner with an outstanding balance of 10% or more of our total accounts receivable balance.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 and Allowance for Credit Losses</w:t>
      </w:r>
    </w:p>
    <w:p>
      <w:pPr>
        <w:spacing w:after="0" w:line="111" w:lineRule="exact"/>
        <w:rPr>
          <w:sz w:val="20"/>
          <w:szCs w:val="20"/>
          <w:color w:val="auto"/>
        </w:rPr>
      </w:pPr>
    </w:p>
    <w:p>
      <w:pPr>
        <w:ind w:right="80" w:firstLine="405"/>
        <w:spacing w:after="0" w:line="262" w:lineRule="auto"/>
        <w:rPr>
          <w:sz w:val="20"/>
          <w:szCs w:val="20"/>
          <w:color w:val="auto"/>
        </w:rPr>
      </w:pPr>
      <w:r>
        <w:rPr>
          <w:rFonts w:ascii="Arial" w:cs="Arial" w:eastAsia="Arial" w:hAnsi="Arial"/>
          <w:sz w:val="16"/>
          <w:szCs w:val="16"/>
          <w:color w:val="auto"/>
        </w:rPr>
        <w:t>Our accounts receivable balances, which are not collateralized and do not bear interest, primarily consist of amounts receivable from our credit and debit card merchant processors, customer receivables, and fees due from third parties for services purchased by our customers from such third parties. We reduce our accounts receivable for sales allowances and a reserve for potentially uncollectible receivables. We determine the amount of the allowances based on various factors, including historical collection experience, the age of our accounts receivable balances, credit quality of our customers, current economic conditions, reasonable and supportable forecasts of future economic conditions, and other factors that may affect our ability to collect from customers. Account balances are charged off against the allowance when we determine that it is not probable we will collect the receivable. At September 30, 2026 and December 31, 2025, the allowance for credit losses was not material.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in Other Equity Securities</w:t>
      </w:r>
    </w:p>
    <w:p>
      <w:pPr>
        <w:spacing w:after="0" w:line="125" w:lineRule="exact"/>
        <w:rPr>
          <w:sz w:val="20"/>
          <w:szCs w:val="20"/>
          <w:color w:val="auto"/>
        </w:rPr>
      </w:pPr>
    </w:p>
    <w:p>
      <w:pPr>
        <w:ind w:right="400" w:firstLine="405"/>
        <w:spacing w:after="0" w:line="266" w:lineRule="auto"/>
        <w:rPr>
          <w:sz w:val="20"/>
          <w:szCs w:val="20"/>
          <w:color w:val="auto"/>
        </w:rPr>
      </w:pPr>
      <w:r>
        <w:rPr>
          <w:rFonts w:ascii="Arial" w:cs="Arial" w:eastAsia="Arial" w:hAnsi="Arial"/>
          <w:sz w:val="16"/>
          <w:szCs w:val="16"/>
          <w:color w:val="auto"/>
        </w:rPr>
        <w:t>We hold an equity investment in LawPath, Pty Ltd (“LawPath”), an Australian proprietary limited company that provides an online legal platform to individuals and small and medium sized businesses. The carrying amount of our investment in LawPath was $4.7 million at September 30, 2026 and December 31, 2025.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derive our revenue from the following sources:</w:t>
      </w:r>
    </w:p>
    <w:p>
      <w:pPr>
        <w:spacing w:after="0" w:line="127"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—Transaction revenue is primarily generated from our customized legal document services upon fulfillment of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includes filing fees and is net of cancellations, promotional discounts, sales allowances and credit reserves. Transaction revenue also includes the transaction price allocated to transaction based services and products bundled in certain arrangements. We also earn fees from third-party providers in connection with lead generation activities, where referred customers purchased services that are transactional in nature.</w:t>
      </w:r>
    </w:p>
    <w:p>
      <w:pPr>
        <w:spacing w:after="0" w:line="65" w:lineRule="exact"/>
        <w:rPr>
          <w:sz w:val="20"/>
          <w:szCs w:val="20"/>
          <w:color w:val="auto"/>
        </w:rPr>
      </w:pPr>
    </w:p>
    <w:p>
      <w:pPr>
        <w:ind w:right="80" w:firstLine="405"/>
        <w:spacing w:after="0" w:line="259"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—Subscription revenue is generated primarily from subscriptions to our registered agent, compliance packages, attorney advice,</w:t>
      </w:r>
      <w:r>
        <w:rPr>
          <w:rFonts w:ascii="Arial" w:cs="Arial" w:eastAsia="Arial" w:hAnsi="Arial"/>
          <w:sz w:val="16"/>
          <w:szCs w:val="16"/>
          <w:i w:val="1"/>
          <w:iCs w:val="1"/>
          <w:color w:val="auto"/>
        </w:rPr>
        <w:t xml:space="preserve"> </w:t>
      </w:r>
      <w:r>
        <w:rPr>
          <w:rFonts w:ascii="Arial" w:cs="Arial" w:eastAsia="Arial" w:hAnsi="Arial"/>
          <w:sz w:val="16"/>
          <w:szCs w:val="16"/>
          <w:color w:val="auto"/>
        </w:rPr>
        <w:t>legal forms, tax and accounting, virtual mail, eSignature services, and software-as-a-service (“SaaS”) subscriptions. We generally recognize revenue from our subscriptions ratably over the subscription term. Subscription terms generally range from thirty days to one year. Subscription revenue also includes amounts earned from third-party providers in connection with lead generation activities, where referred customers purchased services that are subscription in nature. Subscription revenue includes the transaction price allocated to subscription based services in certain bundled arrangements, including free trials for our subscription services, and is net of promotional discounts, cancellations, sales allowances and credit reserves and payments to third party service providers.</w:t>
      </w:r>
    </w:p>
    <w:p>
      <w:pPr>
        <w:spacing w:after="0" w:line="82" w:lineRule="exact"/>
        <w:rPr>
          <w:sz w:val="20"/>
          <w:szCs w:val="20"/>
          <w:color w:val="auto"/>
        </w:rPr>
      </w:pPr>
    </w:p>
    <w:p>
      <w:pPr>
        <w:ind w:right="280" w:firstLine="405"/>
        <w:spacing w:after="0" w:line="275" w:lineRule="auto"/>
        <w:rPr>
          <w:sz w:val="20"/>
          <w:szCs w:val="20"/>
          <w:color w:val="auto"/>
        </w:rPr>
      </w:pPr>
      <w:r>
        <w:rPr>
          <w:rFonts w:ascii="Arial" w:cs="Arial" w:eastAsia="Arial" w:hAnsi="Arial"/>
          <w:sz w:val="16"/>
          <w:szCs w:val="16"/>
          <w:color w:val="auto"/>
        </w:rPr>
        <w:t>The timing of revenue recognition, billings and cash collections results in accounts receivable and contract assets. For transaction and subscription revenue, we generally collect payments and fees at the time orders are placed and prior to services being rendered. We record amounts collected for services that have not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3" w:right="379" w:bottom="1440" w:gutter="0" w:footer="0" w:header="0"/>
        </w:sectPr>
      </w:pPr>
    </w:p>
    <w:bookmarkStart w:id="13" w:name="page14"/>
    <w:bookmarkEnd w:id="13"/>
    <w:p>
      <w:pPr>
        <w:ind w:right="80"/>
        <w:spacing w:after="0" w:line="265" w:lineRule="auto"/>
        <w:rPr>
          <w:sz w:val="20"/>
          <w:szCs w:val="20"/>
          <w:color w:val="auto"/>
        </w:rPr>
      </w:pPr>
      <w:r>
        <w:rPr>
          <w:rFonts w:ascii="Arial" w:cs="Arial" w:eastAsia="Arial" w:hAnsi="Arial"/>
          <w:sz w:val="16"/>
          <w:szCs w:val="16"/>
          <w:color w:val="auto"/>
        </w:rPr>
        <w:t>been performed as deferred revenue on our unaudited condensed consolidated balance sheet. We record amounts recognized as revenue but not yet billed as contract assets within accounts receivable on our unaudited condensed consolidated balance sheets.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transaction and subscription revenue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40" w:type="dxa"/>
            <w:vAlign w:val="bottom"/>
          </w:tcPr>
          <w:p>
            <w:pPr>
              <w:spacing w:after="0"/>
              <w:rPr>
                <w:sz w:val="18"/>
                <w:szCs w:val="18"/>
                <w:color w:val="auto"/>
              </w:rPr>
            </w:pPr>
          </w:p>
        </w:tc>
        <w:tc>
          <w:tcPr>
            <w:tcW w:w="4980" w:type="dxa"/>
            <w:vAlign w:val="bottom"/>
            <w:gridSpan w:val="7"/>
          </w:tcPr>
          <w:p>
            <w:pPr>
              <w:ind w:left="2040"/>
              <w:spacing w:after="0"/>
              <w:rPr>
                <w:sz w:val="20"/>
                <w:szCs w:val="20"/>
                <w:color w:val="auto"/>
              </w:rPr>
            </w:pPr>
            <w:r>
              <w:rPr>
                <w:rFonts w:ascii="Arial" w:cs="Arial" w:eastAsia="Arial" w:hAnsi="Arial"/>
                <w:sz w:val="16"/>
                <w:szCs w:val="16"/>
                <w:b w:val="1"/>
                <w:bCs w:val="1"/>
                <w:color w:val="auto"/>
              </w:rPr>
              <w:t>Three Months Ended September 30,</w:t>
            </w:r>
          </w:p>
        </w:tc>
        <w:tc>
          <w:tcPr>
            <w:tcW w:w="282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344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0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w:t>
            </w: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204,263</w:t>
            </w:r>
          </w:p>
        </w:tc>
      </w:tr>
      <w:tr>
        <w:trPr>
          <w:trHeight w:val="215"/>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Subscription</w:t>
            </w:r>
          </w:p>
        </w:tc>
        <w:tc>
          <w:tcPr>
            <w:tcW w:w="2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125,359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361,514</w:t>
            </w:r>
          </w:p>
        </w:tc>
      </w:tr>
      <w:tr>
        <w:trPr>
          <w:trHeight w:val="234"/>
        </w:trPr>
        <w:tc>
          <w:tcPr>
            <w:tcW w:w="3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revenue</w:t>
            </w:r>
          </w:p>
        </w:tc>
        <w:tc>
          <w:tcPr>
            <w:tcW w:w="2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195,146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190,158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607,216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565,777</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111"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 xml:space="preserve">In November 2024, the Financial Accounting Standards Board (“FASB”) issued Accounting Standards Update (“ASU”) 2024-04, </w:t>
      </w:r>
      <w:r>
        <w:rPr>
          <w:rFonts w:ascii="Arial" w:cs="Arial" w:eastAsia="Arial" w:hAnsi="Arial"/>
          <w:sz w:val="16"/>
          <w:szCs w:val="16"/>
          <w:i w:val="1"/>
          <w:iCs w:val="1"/>
          <w:color w:val="auto"/>
        </w:rPr>
        <w:t>Debt—Debt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and Other Options (Subtopic 470-20): Induced Conversions of Convertible Debt Instruments</w:t>
      </w:r>
      <w:r>
        <w:rPr>
          <w:rFonts w:ascii="Arial" w:cs="Arial" w:eastAsia="Arial" w:hAnsi="Arial"/>
          <w:sz w:val="16"/>
          <w:szCs w:val="16"/>
          <w:color w:val="auto"/>
        </w:rPr>
        <w:t>, which clarifies the requirements for determining</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certain settlements of convertible debt instruments should be accounted for as an induced conversion. ASU 2024-04 was effective for annual reporting periods beginning after December 15, 2025, and interim reporting periods within those annual reporting periods. Early adoption was permitted as of the beginning of a reporting period if the entity had also adopted ASU 2020-06 for that period. Entities may apply the new guidance prospectively to settlements of convertible debt instruments that take place during annual reporting periods (and interim reporting periods within those annual reporting periods) beginning after the effective date of ASU 2024-04. Retrospective application may be elected as of the beginning of the first comparative reporting period in which the entity has also applied ASU 2020-06. We adopted ASU 2024-04 as of January 1, 2026. The adoption of this accounting standard did not have a material impact to our unaudited condensed consolidated financial statements.</w:t>
      </w:r>
    </w:p>
    <w:p>
      <w:pPr>
        <w:spacing w:after="0" w:line="83" w:lineRule="exact"/>
        <w:rPr>
          <w:sz w:val="20"/>
          <w:szCs w:val="20"/>
          <w:color w:val="auto"/>
        </w:rPr>
      </w:pPr>
    </w:p>
    <w:p>
      <w:pPr>
        <w:ind w:right="100" w:firstLine="405"/>
        <w:spacing w:after="0" w:line="258" w:lineRule="auto"/>
        <w:rPr>
          <w:sz w:val="20"/>
          <w:szCs w:val="20"/>
          <w:color w:val="auto"/>
        </w:rPr>
      </w:pPr>
      <w:r>
        <w:rPr>
          <w:rFonts w:ascii="Arial" w:cs="Arial" w:eastAsia="Arial" w:hAnsi="Arial"/>
          <w:sz w:val="16"/>
          <w:szCs w:val="16"/>
          <w:color w:val="auto"/>
        </w:rPr>
        <w:t xml:space="preserve">In July 2025, the FASB issued ASU 2025-05, </w:t>
      </w:r>
      <w:r>
        <w:rPr>
          <w:rFonts w:ascii="Arial" w:cs="Arial" w:eastAsia="Arial" w:hAnsi="Arial"/>
          <w:sz w:val="16"/>
          <w:szCs w:val="16"/>
          <w:i w:val="1"/>
          <w:iCs w:val="1"/>
          <w:color w:val="auto"/>
        </w:rPr>
        <w:t>Financial Instruments—Credit Losses (Topic 326): Measurement of Credit Losses for Accounts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Receivable and Contract Assets, </w:t>
      </w:r>
      <w:r>
        <w:rPr>
          <w:rFonts w:ascii="Arial" w:cs="Arial" w:eastAsia="Arial" w:hAnsi="Arial"/>
          <w:sz w:val="16"/>
          <w:szCs w:val="16"/>
          <w:color w:val="auto"/>
        </w:rPr>
        <w:t>which provides a practical expedient for calculating current expected credit losses for current accounts receivable and</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contract assets by assuming that current conditions as of the balance sheet date will not change for the remaining life of the asset. The accounting standard was effective for interim and annual reporting periods beginning after December 15, 2025 and is to be applied on a prospective basis. We adopted ASU 2025-05 as of January 1, 2026. The adoption of this accounting standard did not have a material impact to our unaudited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Statement—Reporting Comprehensive Income—Expense Disaggregation Disclosures</w:t>
      </w:r>
    </w:p>
    <w:p>
      <w:pPr>
        <w:spacing w:after="0" w:line="31"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i w:val="1"/>
          <w:iCs w:val="1"/>
          <w:color w:val="auto"/>
        </w:rPr>
        <w:t>(Subtopic 220-40): Disaggregation of Income Statement Expenses</w:t>
      </w:r>
      <w:r>
        <w:rPr>
          <w:rFonts w:ascii="Arial" w:cs="Arial" w:eastAsia="Arial" w:hAnsi="Arial"/>
          <w:sz w:val="16"/>
          <w:szCs w:val="16"/>
          <w:color w:val="auto"/>
        </w:rPr>
        <w:t>, which requires public business entities to disaggregate certain expense captions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specific categories, including employee compensation, in disclosures within the notes to the financial statements. As further clarified by ASU 2025-01, </w:t>
      </w:r>
      <w:r>
        <w:rPr>
          <w:rFonts w:ascii="Arial" w:cs="Arial" w:eastAsia="Arial" w:hAnsi="Arial"/>
          <w:sz w:val="16"/>
          <w:szCs w:val="16"/>
          <w:i w:val="1"/>
          <w:iCs w:val="1"/>
          <w:color w:val="auto"/>
        </w:rPr>
        <w:t xml:space="preserve">Income Statement—Reporting Comprehensive Income—Expense Disaggregation Disclosures (Subtopic 220-40), </w:t>
      </w:r>
      <w:r>
        <w:rPr>
          <w:rFonts w:ascii="Arial" w:cs="Arial" w:eastAsia="Arial" w:hAnsi="Arial"/>
          <w:sz w:val="16"/>
          <w:szCs w:val="16"/>
          <w:color w:val="auto"/>
        </w:rPr>
        <w:t>issued by FASB in January 2025, this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 is effective for fiscal years beginning after December 15, 2026, and interim periods within fiscal years beginning after December 15, 2027. The amendments in ASU 2024-03 should be applied either prospectively or retrospectively to any or all prior periods presented in the financial statements, and early adoption is permitted. We are currently evaluating the impact of the adoption on our unaudited condensed consolidated financial statements.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In September 2025, the FASB issued ASU 2025-06, </w:t>
      </w:r>
      <w:r>
        <w:rPr>
          <w:rFonts w:ascii="Arial" w:cs="Arial" w:eastAsia="Arial" w:hAnsi="Arial"/>
          <w:sz w:val="16"/>
          <w:szCs w:val="16"/>
          <w:i w:val="1"/>
          <w:iCs w:val="1"/>
          <w:color w:val="auto"/>
        </w:rPr>
        <w:t>Intangibles - Goodwill and Other - Internal-Use Software (Subtopic 350-40): Targeted</w:t>
      </w:r>
    </w:p>
    <w:p>
      <w:pPr>
        <w:spacing w:after="0" w:line="3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i w:val="1"/>
          <w:iCs w:val="1"/>
          <w:color w:val="auto"/>
        </w:rPr>
        <w:t xml:space="preserve">Improvements to the Accounting for Internal-Use Software, </w:t>
      </w:r>
      <w:r>
        <w:rPr>
          <w:rFonts w:ascii="Arial" w:cs="Arial" w:eastAsia="Arial" w:hAnsi="Arial"/>
          <w:sz w:val="16"/>
          <w:szCs w:val="16"/>
          <w:color w:val="auto"/>
        </w:rPr>
        <w:t>to remove all references to software development stages and to require capitalizing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costs when management has authorized and committed to funding a software project and it is probable that the project will be completed and that the software will be used to perform the function intended. The accounting standard is effective for annual reporting periods beginning after December 15, 2027 and interim reporting periods within those annual reporting periods with early adoption permitted at the beginning of an annual reporting period. Adoption of ASU 2025-06 may use a prospective, modified retrospective or retrospective transition approach. We are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currently evaluating the impact of the adoption on our unaudited condensed consolidated financial statements.</w:t>
      </w:r>
    </w:p>
    <w:p>
      <w:pPr>
        <w:spacing w:after="0" w:line="113" w:lineRule="exact"/>
        <w:rPr>
          <w:sz w:val="20"/>
          <w:szCs w:val="20"/>
          <w:color w:val="auto"/>
        </w:rPr>
      </w:pPr>
    </w:p>
    <w:p>
      <w:pPr>
        <w:ind w:right="120" w:firstLine="405"/>
        <w:spacing w:after="0" w:line="261" w:lineRule="auto"/>
        <w:rPr>
          <w:sz w:val="20"/>
          <w:szCs w:val="20"/>
          <w:color w:val="auto"/>
        </w:rPr>
      </w:pPr>
      <w:r>
        <w:rPr>
          <w:rFonts w:ascii="Arial" w:cs="Arial" w:eastAsia="Arial" w:hAnsi="Arial"/>
          <w:sz w:val="16"/>
          <w:szCs w:val="16"/>
          <w:color w:val="auto"/>
        </w:rPr>
        <w:t xml:space="preserve">In December 2025, the FASB issued ASU 2025-11, </w:t>
      </w:r>
      <w:r>
        <w:rPr>
          <w:rFonts w:ascii="Arial" w:cs="Arial" w:eastAsia="Arial" w:hAnsi="Arial"/>
          <w:sz w:val="16"/>
          <w:szCs w:val="16"/>
          <w:i w:val="1"/>
          <w:iCs w:val="1"/>
          <w:color w:val="auto"/>
        </w:rPr>
        <w:t>Interim Reporting (Topic 270): Narrow-Scope Improvements,</w:t>
      </w:r>
      <w:r>
        <w:rPr>
          <w:rFonts w:ascii="Arial" w:cs="Arial" w:eastAsia="Arial" w:hAnsi="Arial"/>
          <w:sz w:val="16"/>
          <w:szCs w:val="16"/>
          <w:color w:val="auto"/>
        </w:rPr>
        <w:t xml:space="preserve"> to make targeted, narrow-scope improvements to the interim reporting guidance in Topic 270 to clarify application and improve consistency in practice. The amendments create a comprehensive list of required interim disclosures and introduce a disclosure principle requiring entities to disclose, in interim periods, any event or change since the previous year-end that has a material effect on the entity. The accounting standard is effective for interim reporting periods within annual reporting periods beginning after December 15, 2027 with early adoption permitted. The adoption of ASU 2025-11 can use a prospective or retrospective transition. We are currently evaluating the impact of the adoption to our unaudited condensed consolidated financial statements.</w:t>
      </w:r>
    </w:p>
    <w:p>
      <w:pPr>
        <w:spacing w:after="0" w:line="82" w:lineRule="exact"/>
        <w:rPr>
          <w:sz w:val="20"/>
          <w:szCs w:val="20"/>
          <w:color w:val="auto"/>
        </w:rPr>
      </w:pPr>
    </w:p>
    <w:p>
      <w:pPr>
        <w:ind w:right="200" w:firstLine="405"/>
        <w:spacing w:after="0" w:line="265" w:lineRule="auto"/>
        <w:rPr>
          <w:sz w:val="20"/>
          <w:szCs w:val="20"/>
          <w:color w:val="auto"/>
        </w:rPr>
      </w:pPr>
      <w:r>
        <w:rPr>
          <w:rFonts w:ascii="Arial" w:cs="Arial" w:eastAsia="Arial" w:hAnsi="Arial"/>
          <w:sz w:val="16"/>
          <w:szCs w:val="16"/>
          <w:color w:val="auto"/>
        </w:rPr>
        <w:t xml:space="preserve">In December 2025, the FASB issued ASU No. 2025-12,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xml:space="preserve"> which includes various amendments that clarify, correct, or make minor improvements to various codifications. The accounting standard is effective for annual reporting periods beginning after December 15, 2026 and interim reporting periods within those annual reporting periods, with early adoption permitted. The adoption method of this ASU may vary on an issue-by-issue basis. We are currently evaluating the impact of the adoption to our unaudited condensed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Pr>
          <w:p>
            <w:pPr>
              <w:spacing w:after="0"/>
              <w:rPr>
                <w:sz w:val="20"/>
                <w:szCs w:val="20"/>
                <w:color w:val="auto"/>
              </w:rPr>
            </w:pPr>
            <w:r>
              <w:rPr>
                <w:rFonts w:ascii="Arial" w:cs="Arial" w:eastAsia="Arial" w:hAnsi="Arial"/>
                <w:sz w:val="16"/>
                <w:szCs w:val="16"/>
                <w:b w:val="1"/>
                <w:bCs w:val="1"/>
                <w:color w:val="auto"/>
              </w:rPr>
              <w:t>Note 3. Other Financial Statement Information</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5400" w:type="dxa"/>
            <w:vAlign w:val="bottom"/>
          </w:tcPr>
          <w:p>
            <w:pPr>
              <w:spacing w:after="0"/>
              <w:rPr>
                <w:sz w:val="20"/>
                <w:szCs w:val="20"/>
                <w:color w:val="auto"/>
              </w:rPr>
            </w:pPr>
            <w:r>
              <w:rPr>
                <w:rFonts w:ascii="Arial" w:cs="Arial" w:eastAsia="Arial" w:hAnsi="Arial"/>
                <w:sz w:val="16"/>
                <w:szCs w:val="16"/>
                <w:i w:val="1"/>
                <w:iCs w:val="1"/>
                <w:color w:val="auto"/>
              </w:rPr>
              <w:t>Accounts Receivable</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00" w:type="dxa"/>
            <w:vAlign w:val="bottom"/>
          </w:tcPr>
          <w:p>
            <w:pPr>
              <w:ind w:left="420"/>
              <w:spacing w:after="0"/>
              <w:rPr>
                <w:sz w:val="20"/>
                <w:szCs w:val="20"/>
                <w:color w:val="auto"/>
              </w:rPr>
            </w:pPr>
            <w:r>
              <w:rPr>
                <w:rFonts w:ascii="Arial" w:cs="Arial" w:eastAsia="Arial" w:hAnsi="Arial"/>
                <w:sz w:val="16"/>
                <w:szCs w:val="16"/>
                <w:color w:val="auto"/>
              </w:rPr>
              <w:t>Changes in the allowances consisted of the following (in thousands):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400" w:type="dxa"/>
            <w:vAlign w:val="bottom"/>
          </w:tcPr>
          <w:p>
            <w:pPr>
              <w:spacing w:after="0"/>
              <w:rPr>
                <w:sz w:val="24"/>
                <w:szCs w:val="24"/>
                <w:color w:val="auto"/>
              </w:rPr>
            </w:pPr>
          </w:p>
        </w:tc>
        <w:tc>
          <w:tcPr>
            <w:tcW w:w="302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2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0" w:type="dxa"/>
            <w:vAlign w:val="bottom"/>
          </w:tcPr>
          <w:p>
            <w:pPr>
              <w:spacing w:after="0"/>
              <w:rPr>
                <w:sz w:val="1"/>
                <w:szCs w:val="1"/>
                <w:color w:val="auto"/>
              </w:rPr>
            </w:pP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Add: allowance recognized as a reduction of revenue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163"/>
        </w:trPr>
        <w:tc>
          <w:tcPr>
            <w:tcW w:w="54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(Less)/Add: allowance for credit losses recognized in general and</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administrative expense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write-offs, net of recoveries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235"/>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receivables from partners that are considered uncertain or no longer collectible.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assets</w:t>
      </w:r>
    </w:p>
    <w:p>
      <w:pPr>
        <w:spacing w:after="0" w:line="125" w:lineRule="exact"/>
        <w:rPr>
          <w:sz w:val="20"/>
          <w:szCs w:val="20"/>
          <w:color w:val="auto"/>
        </w:rPr>
      </w:pPr>
    </w:p>
    <w:p>
      <w:pPr>
        <w:ind w:right="160" w:firstLine="405"/>
        <w:spacing w:after="0" w:line="286" w:lineRule="auto"/>
        <w:rPr>
          <w:sz w:val="20"/>
          <w:szCs w:val="20"/>
          <w:color w:val="auto"/>
        </w:rPr>
      </w:pPr>
      <w:r>
        <w:rPr>
          <w:rFonts w:ascii="Arial" w:cs="Arial" w:eastAsia="Arial" w:hAnsi="Arial"/>
          <w:sz w:val="16"/>
          <w:szCs w:val="16"/>
          <w:color w:val="auto"/>
        </w:rPr>
        <w:t>Contract assets as of September 30, 2026 and December 31, 2025 were $5.3 million and $2.7 million, respectively. The increase is associated with a multi-year extension of an existing agreement entered into during the three months ended September 30, 2026 with both fixed and variable consideration.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Prepaid Expenses and Other Current Assets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Prepaid expenses and other current assets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10,165</w:t>
            </w:r>
          </w:p>
        </w:tc>
        <w:tc>
          <w:tcPr>
            <w:tcW w:w="0" w:type="dxa"/>
            <w:vAlign w:val="bottom"/>
          </w:tcPr>
          <w:p>
            <w:pPr>
              <w:spacing w:after="0"/>
              <w:rPr>
                <w:sz w:val="1"/>
                <w:szCs w:val="1"/>
                <w:color w:val="auto"/>
              </w:rPr>
            </w:pPr>
          </w:p>
        </w:tc>
      </w:tr>
      <w:tr>
        <w:trPr>
          <w:trHeight w:val="215"/>
        </w:trPr>
        <w:tc>
          <w:tcPr>
            <w:tcW w:w="4680" w:type="dxa"/>
            <w:vAlign w:val="bottom"/>
          </w:tcPr>
          <w:p>
            <w:pPr>
              <w:ind w:left="20"/>
              <w:spacing w:after="0"/>
              <w:rPr>
                <w:sz w:val="20"/>
                <w:szCs w:val="20"/>
                <w:color w:val="auto"/>
              </w:rPr>
            </w:pPr>
            <w:r>
              <w:rPr>
                <w:rFonts w:ascii="Arial" w:cs="Arial" w:eastAsia="Arial" w:hAnsi="Arial"/>
                <w:sz w:val="16"/>
                <w:szCs w:val="16"/>
                <w:color w:val="auto"/>
              </w:rPr>
              <w:t>Deferred cost of revenue</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cloud computing development costs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0" w:type="dxa"/>
            <w:vAlign w:val="bottom"/>
          </w:tcPr>
          <w:p>
            <w:pPr>
              <w:spacing w:after="0"/>
              <w:rPr>
                <w:sz w:val="1"/>
                <w:szCs w:val="1"/>
                <w:color w:val="auto"/>
              </w:rPr>
            </w:pPr>
          </w:p>
        </w:tc>
      </w:tr>
      <w:tr>
        <w:trPr>
          <w:trHeight w:val="215"/>
        </w:trPr>
        <w:tc>
          <w:tcPr>
            <w:tcW w:w="4680" w:type="dxa"/>
            <w:vAlign w:val="bottom"/>
          </w:tcPr>
          <w:p>
            <w:pPr>
              <w:ind w:left="20"/>
              <w:spacing w:after="0"/>
              <w:rPr>
                <w:sz w:val="20"/>
                <w:szCs w:val="20"/>
                <w:color w:val="auto"/>
              </w:rPr>
            </w:pPr>
            <w:r>
              <w:rPr>
                <w:rFonts w:ascii="Arial" w:cs="Arial" w:eastAsia="Arial" w:hAnsi="Arial"/>
                <w:sz w:val="16"/>
                <w:szCs w:val="16"/>
                <w:color w:val="auto"/>
              </w:rPr>
              <w:t>Income tax receivable</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3,251</w:t>
            </w: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09"/>
        </w:trPr>
        <w:tc>
          <w:tcPr>
            <w:tcW w:w="4680" w:type="dxa"/>
            <w:vAlign w:val="bottom"/>
          </w:tcPr>
          <w:p>
            <w:pPr>
              <w:ind w:left="360"/>
              <w:spacing w:after="0"/>
              <w:rPr>
                <w:sz w:val="20"/>
                <w:szCs w:val="20"/>
                <w:color w:val="auto"/>
              </w:rPr>
            </w:pPr>
            <w:r>
              <w:rPr>
                <w:rFonts w:ascii="Arial" w:cs="Arial" w:eastAsia="Arial" w:hAnsi="Arial"/>
                <w:sz w:val="16"/>
                <w:szCs w:val="16"/>
                <w:color w:val="auto"/>
              </w:rPr>
              <w:t>Total prepaid expenses and other current assets</w:t>
            </w:r>
          </w:p>
        </w:tc>
        <w:tc>
          <w:tcPr>
            <w:tcW w:w="37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22,536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18,234</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3720" w:type="dxa"/>
            <w:vAlign w:val="bottom"/>
            <w:vMerge w:val="restart"/>
          </w:tcPr>
          <w:p>
            <w:pPr>
              <w:jc w:val="right"/>
              <w:ind w:right="259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9"/>
        </w:trPr>
        <w:tc>
          <w:tcPr>
            <w:tcW w:w="46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68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3"/>
        </w:trPr>
        <w:tc>
          <w:tcPr>
            <w:tcW w:w="8400" w:type="dxa"/>
            <w:vAlign w:val="bottom"/>
          </w:tcPr>
          <w:p>
            <w:pPr>
              <w:spacing w:after="0"/>
              <w:rPr>
                <w:sz w:val="20"/>
                <w:szCs w:val="20"/>
                <w:color w:val="auto"/>
              </w:rPr>
            </w:pPr>
            <w:r>
              <w:rPr>
                <w:rFonts w:ascii="Arial" w:cs="Arial" w:eastAsia="Arial" w:hAnsi="Arial"/>
                <w:sz w:val="16"/>
                <w:szCs w:val="16"/>
                <w:i w:val="1"/>
                <w:iCs w:val="1"/>
                <w:color w:val="auto"/>
              </w:rPr>
              <w:t>Accrued Expenses and Other Current Liabilities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97"/>
        </w:trPr>
        <w:tc>
          <w:tcPr>
            <w:tcW w:w="8400" w:type="dxa"/>
            <w:vAlign w:val="bottom"/>
          </w:tcPr>
          <w:p>
            <w:pPr>
              <w:ind w:left="42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9"/>
        </w:trPr>
        <w:tc>
          <w:tcPr>
            <w:tcW w:w="8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24"/>
                <w:szCs w:val="24"/>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0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32,785</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Accrued vendor payables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17,444</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advertising</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Sales allowances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3,126</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sales, use and business taxes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10,409</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Deferred consideration relating to business acquired</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12,627</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4,419</w:t>
            </w:r>
          </w:p>
        </w:tc>
      </w:tr>
      <w:tr>
        <w:trPr>
          <w:trHeight w:val="210"/>
        </w:trPr>
        <w:tc>
          <w:tcPr>
            <w:tcW w:w="8400" w:type="dxa"/>
            <w:vAlign w:val="bottom"/>
          </w:tcPr>
          <w:p>
            <w:pPr>
              <w:ind w:left="360"/>
              <w:spacing w:after="0"/>
              <w:rPr>
                <w:sz w:val="20"/>
                <w:szCs w:val="20"/>
                <w:color w:val="auto"/>
              </w:rPr>
            </w:pPr>
            <w:r>
              <w:rPr>
                <w:rFonts w:ascii="Arial" w:cs="Arial" w:eastAsia="Arial" w:hAnsi="Arial"/>
                <w:sz w:val="16"/>
                <w:szCs w:val="16"/>
                <w:color w:val="auto"/>
              </w:rPr>
              <w:t>Total accrued expenses and other current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83,361</w:t>
            </w:r>
          </w:p>
        </w:tc>
      </w:tr>
      <w:tr>
        <w:trPr>
          <w:trHeight w:val="21"/>
        </w:trPr>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revenue</w:t>
      </w:r>
    </w:p>
    <w:p>
      <w:pPr>
        <w:spacing w:after="0" w:line="125" w:lineRule="exact"/>
        <w:rPr>
          <w:sz w:val="20"/>
          <w:szCs w:val="20"/>
          <w:color w:val="auto"/>
        </w:rPr>
      </w:pPr>
    </w:p>
    <w:p>
      <w:pPr>
        <w:ind w:right="180" w:firstLine="405"/>
        <w:spacing w:after="0" w:line="265" w:lineRule="auto"/>
        <w:rPr>
          <w:sz w:val="20"/>
          <w:szCs w:val="20"/>
          <w:color w:val="auto"/>
        </w:rPr>
      </w:pPr>
      <w:r>
        <w:rPr>
          <w:rFonts w:ascii="Arial" w:cs="Arial" w:eastAsia="Arial" w:hAnsi="Arial"/>
          <w:sz w:val="16"/>
          <w:szCs w:val="16"/>
          <w:color w:val="auto"/>
        </w:rPr>
        <w:t>Deferred revenue as of September 30, 2026 and December 31, 2025 was $220.0 million and $203.9 million, respectively. Revenue recognized in the three months ended September 30, 2026 and 2025 that was included in deferred revenue as of June 30, 2026 and 2025 was $103.8 million and $101.4 million, respectively. Revenue recognized in the nine months ended September 30, 2026 and 2025 that was included in deferred revenue as of December 31, 2025 and 2024 was $193.2 million and $165.2 million, respectively.</w:t>
      </w:r>
    </w:p>
    <w:p>
      <w:pPr>
        <w:spacing w:after="0" w:line="65" w:lineRule="exact"/>
        <w:rPr>
          <w:sz w:val="20"/>
          <w:szCs w:val="20"/>
          <w:color w:val="auto"/>
        </w:rPr>
      </w:pPr>
    </w:p>
    <w:p>
      <w:pPr>
        <w:ind w:right="40" w:firstLine="405"/>
        <w:spacing w:after="0" w:line="271" w:lineRule="auto"/>
        <w:rPr>
          <w:sz w:val="20"/>
          <w:szCs w:val="20"/>
          <w:color w:val="auto"/>
        </w:rPr>
      </w:pPr>
      <w:r>
        <w:rPr>
          <w:rFonts w:ascii="Arial" w:cs="Arial" w:eastAsia="Arial" w:hAnsi="Arial"/>
          <w:sz w:val="16"/>
          <w:szCs w:val="16"/>
          <w:color w:val="auto"/>
        </w:rPr>
        <w:t>The transaction price allocated to our fixed remaining performance obligation was $29.2 million to be recognized over the next 4.3 years, with $6.9 million to be recognized in the next twelve months. We have omitted performance based variable consideration allocated entirely to unsatisfied performance obligations within a series of other distinct performance obligations. Additionally, we elected to omit disclosure on the transaction price allocated to remaining performance obligations for contracts with an original expected term of one year or less.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111" w:lineRule="exact"/>
        <w:rPr>
          <w:sz w:val="20"/>
          <w:szCs w:val="20"/>
          <w:color w:val="auto"/>
        </w:rPr>
      </w:pPr>
    </w:p>
    <w:p>
      <w:pPr>
        <w:ind w:right="200" w:firstLine="405"/>
        <w:spacing w:after="0" w:line="304" w:lineRule="auto"/>
        <w:rPr>
          <w:sz w:val="20"/>
          <w:szCs w:val="20"/>
          <w:color w:val="auto"/>
        </w:rPr>
      </w:pPr>
      <w:r>
        <w:rPr>
          <w:rFonts w:ascii="Arial" w:cs="Arial" w:eastAsia="Arial" w:hAnsi="Arial"/>
          <w:sz w:val="16"/>
          <w:szCs w:val="16"/>
          <w:color w:val="auto"/>
        </w:rPr>
        <w:t>Depreciation and amortization expense of our property and equipment, including capitalized internal-use software, and intangible assets consisted of the following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60" w:type="dxa"/>
            <w:vAlign w:val="bottom"/>
          </w:tcPr>
          <w:p>
            <w:pPr>
              <w:spacing w:after="0"/>
              <w:rPr>
                <w:sz w:val="18"/>
                <w:szCs w:val="18"/>
                <w:color w:val="auto"/>
              </w:rPr>
            </w:pPr>
          </w:p>
        </w:tc>
        <w:tc>
          <w:tcPr>
            <w:tcW w:w="3860" w:type="dxa"/>
            <w:vAlign w:val="bottom"/>
            <w:gridSpan w:val="7"/>
          </w:tcPr>
          <w:p>
            <w:pPr>
              <w:ind w:left="920"/>
              <w:spacing w:after="0"/>
              <w:rPr>
                <w:sz w:val="20"/>
                <w:szCs w:val="20"/>
                <w:color w:val="auto"/>
              </w:rPr>
            </w:pPr>
            <w:r>
              <w:rPr>
                <w:rFonts w:ascii="Arial" w:cs="Arial" w:eastAsia="Arial" w:hAnsi="Arial"/>
                <w:sz w:val="16"/>
                <w:szCs w:val="16"/>
                <w:b w:val="1"/>
                <w:bCs w:val="1"/>
                <w:color w:val="auto"/>
              </w:rPr>
              <w:t>Three Months Ended September 30,</w:t>
            </w:r>
          </w:p>
        </w:tc>
        <w:tc>
          <w:tcPr>
            <w:tcW w:w="282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45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10"/>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15,771</w:t>
            </w: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6,682</w:t>
            </w:r>
          </w:p>
        </w:tc>
      </w:t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6,459</w:t>
            </w:r>
          </w:p>
        </w:tc>
      </w:tr>
      <w:tr>
        <w:trPr>
          <w:trHeight w:val="21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w:t>
            </w:r>
          </w:p>
        </w:tc>
      </w:tr>
      <w:tr>
        <w:trPr>
          <w:trHeight w:val="235"/>
        </w:trPr>
        <w:tc>
          <w:tcPr>
            <w:tcW w:w="4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depreciation and amortization expense</w:t>
            </w:r>
          </w:p>
        </w:tc>
        <w:tc>
          <w:tcPr>
            <w:tcW w:w="9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33,118</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Acquisition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Formation Nation, Inc.</w:t>
      </w:r>
    </w:p>
    <w:p>
      <w:pPr>
        <w:spacing w:after="0" w:line="1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6"/>
          <w:szCs w:val="16"/>
          <w:color w:val="auto"/>
        </w:rPr>
        <w:t>On February 10, 2025, we acquired all of the outstanding equity interests of Formation Nation, Inc., a Nevada-based small business services company with a range of legal and business solutions, in exchange for a total consideration of $83.2 million consisting of cash, net working capital adjustments and equity consideration comprising 2,205,445 restricted shares of our common stock. Approximately $12.5 million of the consideration was initially deferred to satisfy any necessary adjustments, including without limitation, indemnification claims related to general representations and warranties, any net working capital adjustments and deferred change in control bonuses. We paid $13.1 million for the deferred consideration in cash, inclusive of $0.6 million of accrued interest, during the nine months ended September 30, 2026 upon the expiration of the 12-month holdback period, net of any amounts withheld to satisfy all unsatisfied or disputed claims for indemnification and net working capital adjustments.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Note 5. Long-term Debt</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July 2, 2021, we entered into an amended and restated credit and guaranty agreement (the “Revolving Facility”) providing for revolving borrowings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of up to $150.0 million with an availability period of five years. Under the Revolving Facility, we can use up to $20.0 million in letters of credit and up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 million in borrowings on same-day notice, referred to as swingline loans. On May 5, 2023, we entered into an amendment to the Revolving Facility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replace the LIBOR interest rate benchmark with the Secured Overnight Financing Rate (“SOFR”) benchmark, with a 0.10% credit spread adjustment to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SOFR benchmark (“Adjusted Term SOFR”) for all available interest periods, provided that if the Adjusted Term SOFR is less than zero, the Adjusted Term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SOFR shall be deemed to be zero. Other than the foregoing, the remaining terms of the Revolving Facility remained unchanged.</w:t>
      </w:r>
    </w:p>
    <w:p>
      <w:pPr>
        <w:spacing w:after="0" w:line="111" w:lineRule="exact"/>
        <w:rPr>
          <w:sz w:val="20"/>
          <w:szCs w:val="20"/>
          <w:color w:val="auto"/>
        </w:rPr>
      </w:pPr>
    </w:p>
    <w:p>
      <w:pPr>
        <w:ind w:right="80" w:firstLine="405"/>
        <w:spacing w:after="0" w:line="257" w:lineRule="auto"/>
        <w:rPr>
          <w:sz w:val="20"/>
          <w:szCs w:val="20"/>
          <w:color w:val="auto"/>
        </w:rPr>
      </w:pPr>
      <w:r>
        <w:rPr>
          <w:rFonts w:ascii="Arial" w:cs="Arial" w:eastAsia="Arial" w:hAnsi="Arial"/>
          <w:sz w:val="16"/>
          <w:szCs w:val="16"/>
          <w:color w:val="auto"/>
        </w:rPr>
        <w:t>On July 14, 2025, we entered into a second amendment to the Revolving Facility (as amended, the “Amended Revolving Facility”), which reduced the revolving loan commitment from $150.0 million to $100.0 million and extended the maturity date from July 2, 2026 to July 14, 2030. The terms of available letters of credit and swingline loans remained unchanged. In addition, the Amended Revolving Facility added additional reductions to the existing interest rate margins and the commitment fee upon achieving a total net lien leverage ratio of 1.00 to 1.00 and also removes the 0.10% credit spread adjustment to the SOFR benchmark for all available interest periods. As a result of the Amended Revolving Facility, we incurred $0.8 million of incremental deferred issuance costs. Those costs were capitalized in other assets in the unaudited condensed consolidated balance sheets and are amortized straight-line over the term of Amended Revolving Facility. In connection with the Amended Revolving Facility, we performed an extinguishment versus modification assessment on a lender-by-lender basis resulting in the write-off of an insignificant amount of unamortized debt issuance costs under Revolving Facility.</w:t>
      </w:r>
    </w:p>
    <w:p>
      <w:pPr>
        <w:spacing w:after="0" w:line="84" w:lineRule="exact"/>
        <w:rPr>
          <w:sz w:val="20"/>
          <w:szCs w:val="20"/>
          <w:color w:val="auto"/>
        </w:rPr>
      </w:pPr>
    </w:p>
    <w:p>
      <w:pPr>
        <w:ind w:right="280" w:firstLine="405"/>
        <w:spacing w:after="0" w:line="263" w:lineRule="auto"/>
        <w:rPr>
          <w:sz w:val="20"/>
          <w:szCs w:val="20"/>
          <w:color w:val="auto"/>
        </w:rPr>
      </w:pPr>
      <w:r>
        <w:rPr>
          <w:rFonts w:ascii="Arial" w:cs="Arial" w:eastAsia="Arial" w:hAnsi="Arial"/>
          <w:sz w:val="16"/>
          <w:szCs w:val="16"/>
          <w:color w:val="auto"/>
        </w:rPr>
        <w:t>Borrowings under the Amended Revolving Facility bear interest at a rate per annum equal to either (a) the Term SOFR plus a margin ranging from 2.00% to 1.25% or (b) a margin ranging from 1.00% to 0.25% plus the highest of (i) the administrative agent’s prime rate, (ii) the Federal Funds rate plus</w:t>
      </w:r>
    </w:p>
    <w:p>
      <w:pPr>
        <w:ind w:right="60"/>
        <w:spacing w:after="0" w:line="255" w:lineRule="auto"/>
        <w:rPr>
          <w:sz w:val="20"/>
          <w:szCs w:val="20"/>
          <w:color w:val="auto"/>
        </w:rPr>
      </w:pPr>
      <w:r>
        <w:rPr>
          <w:rFonts w:ascii="Arial" w:cs="Arial" w:eastAsia="Arial" w:hAnsi="Arial"/>
          <w:sz w:val="16"/>
          <w:szCs w:val="16"/>
          <w:color w:val="auto"/>
        </w:rPr>
        <w:t>0.50% or (iii) one-month Term SOFR plus 1%. The interest rate margins under the Amended Revolving Facility are subject to a reduction of 0.25% upon achieving total net first lien leverage ratios of 3.50 to 1.00 and further reductions of 0.25% each upon achieving total net first lien leverage ratios of 2.50 to 1.00 and 1.00 to 1.00, respectively. We are required to pay a commitment fee in respect of unutilized commitments under the Amended Revolving Facility. The commitment fee is, initially, 0.35% per annum. The commitment fee is subject to a reduction of 0.10% if the total net first lien leverage ratio does not exceed 3.50 to 1.00 and an additional 0.05% reduction upon achieving a total first lien leverage ratio of 1.00 to 1.00. We are also required to pay customary letter of credit fees and agency fees. We have the option to voluntarily repay outstanding loans under the Amended Revolving Facility at any time without premium or penalty, other than customary “breakage” costs with respect to SOFR loans. There is no scheduled amortization under the Amended Revolving Facility. Any principal amount outstanding is due and payable in full at maturity on July 14, 2030. Obligations under the Amended Revolving Facility are guaranteed by our existing and future direct and indirect material wholly-owned domestic subsidiaries, subject to certain exceptions. The Amended Revolving Facility is secured by a first-priority security interest in substantially all of our assets, subject to certain exceptions.</w:t>
      </w:r>
    </w:p>
    <w:p>
      <w:pPr>
        <w:spacing w:after="0" w:line="85" w:lineRule="exact"/>
        <w:rPr>
          <w:sz w:val="20"/>
          <w:szCs w:val="20"/>
          <w:color w:val="auto"/>
        </w:rPr>
      </w:pPr>
    </w:p>
    <w:p>
      <w:pPr>
        <w:ind w:right="260" w:firstLine="405"/>
        <w:spacing w:after="0" w:line="260" w:lineRule="auto"/>
        <w:rPr>
          <w:sz w:val="20"/>
          <w:szCs w:val="20"/>
          <w:color w:val="auto"/>
        </w:rPr>
      </w:pPr>
      <w:r>
        <w:rPr>
          <w:rFonts w:ascii="Arial" w:cs="Arial" w:eastAsia="Arial" w:hAnsi="Arial"/>
          <w:sz w:val="16"/>
          <w:szCs w:val="16"/>
          <w:color w:val="auto"/>
        </w:rPr>
        <w:t>The Amended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83" w:lineRule="exact"/>
        <w:rPr>
          <w:sz w:val="20"/>
          <w:szCs w:val="20"/>
          <w:color w:val="auto"/>
        </w:rPr>
      </w:pPr>
    </w:p>
    <w:p>
      <w:pPr>
        <w:jc w:val="both"/>
        <w:ind w:right="20" w:firstLine="405"/>
        <w:spacing w:after="0" w:line="266" w:lineRule="auto"/>
        <w:rPr>
          <w:sz w:val="20"/>
          <w:szCs w:val="20"/>
          <w:color w:val="auto"/>
        </w:rPr>
      </w:pPr>
      <w:r>
        <w:rPr>
          <w:rFonts w:ascii="Arial" w:cs="Arial" w:eastAsia="Arial" w:hAnsi="Arial"/>
          <w:sz w:val="16"/>
          <w:szCs w:val="16"/>
          <w:color w:val="auto"/>
        </w:rPr>
        <w:t>The Amended Revolving Facility requires compliance with a total net first lien leverage ratio not to exceed 4.50 to 1.00 (the “Financial Covenant”). The Financial Covenant will be tested at quarter-end only if the total principal amount of all revolving loans, swingline loans and drawn letters of credit that have not been reimbursed exceeds 35% of the total commitments under the Amended Revolving Facility on the last day of such fiscal quarter.</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September 30, 2026 and December 31, 2025, we had no amounts outstanding under our Amended Revolving Facility.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Commitments and Contingencies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25" w:lineRule="exact"/>
        <w:rPr>
          <w:sz w:val="20"/>
          <w:szCs w:val="20"/>
          <w:color w:val="auto"/>
        </w:rPr>
      </w:pPr>
    </w:p>
    <w:p>
      <w:pPr>
        <w:ind w:firstLine="405"/>
        <w:spacing w:after="0" w:line="275" w:lineRule="auto"/>
        <w:rPr>
          <w:sz w:val="20"/>
          <w:szCs w:val="20"/>
          <w:color w:val="auto"/>
        </w:rPr>
      </w:pPr>
      <w:r>
        <w:rPr>
          <w:rFonts w:ascii="Arial" w:cs="Arial" w:eastAsia="Arial" w:hAnsi="Arial"/>
          <w:sz w:val="16"/>
          <w:szCs w:val="16"/>
          <w:color w:val="auto"/>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1" w:right="399" w:bottom="1440" w:gutter="0" w:footer="0" w:header="0"/>
        </w:sectPr>
      </w:pPr>
    </w:p>
    <w:bookmarkStart w:id="17" w:name="page18"/>
    <w:bookmarkEnd w:id="17"/>
    <w:p>
      <w:pPr>
        <w:spacing w:after="0"/>
        <w:rPr>
          <w:sz w:val="20"/>
          <w:szCs w:val="20"/>
          <w:color w:val="auto"/>
        </w:rPr>
      </w:pPr>
      <w:r>
        <w:rPr>
          <w:rFonts w:ascii="Arial" w:cs="Arial" w:eastAsia="Arial" w:hAnsi="Arial"/>
          <w:sz w:val="16"/>
          <w:szCs w:val="16"/>
          <w:i w:val="1"/>
          <w:iCs w:val="1"/>
          <w:color w:val="auto"/>
        </w:rPr>
        <w:t>Indemnifications</w:t>
      </w:r>
    </w:p>
    <w:p>
      <w:pPr>
        <w:spacing w:after="0" w:line="111" w:lineRule="exact"/>
        <w:rPr>
          <w:sz w:val="20"/>
          <w:szCs w:val="20"/>
          <w:color w:val="auto"/>
        </w:rPr>
      </w:pPr>
    </w:p>
    <w:p>
      <w:pPr>
        <w:ind w:right="140" w:firstLine="405"/>
        <w:spacing w:after="0" w:line="271" w:lineRule="auto"/>
        <w:rPr>
          <w:sz w:val="20"/>
          <w:szCs w:val="20"/>
          <w:color w:val="auto"/>
        </w:rPr>
      </w:pPr>
      <w:r>
        <w:rPr>
          <w:rFonts w:ascii="Arial" w:cs="Arial" w:eastAsia="Arial" w:hAnsi="Arial"/>
          <w:sz w:val="16"/>
          <w:szCs w:val="16"/>
          <w:color w:val="auto"/>
        </w:rPr>
        <w:t>Indemnification provisions in our third party service provider agreements provide that we will indemnify, hold harmless, and reimburse the indemnified parties on a case-by-case basis for losses suffered or incurred by the indemnified parties in connection with any claim by any third party as a result of our website, advertising, marketing, payment processing, collection or customer service activities. The maximum potential amount of future payments we could be required to make under these indemnification provisions is indeterminable.</w:t>
      </w:r>
    </w:p>
    <w:p>
      <w:pPr>
        <w:spacing w:after="0" w:line="60" w:lineRule="exact"/>
        <w:rPr>
          <w:sz w:val="20"/>
          <w:szCs w:val="20"/>
          <w:color w:val="auto"/>
        </w:rPr>
      </w:pPr>
    </w:p>
    <w:p>
      <w:pPr>
        <w:ind w:right="400" w:firstLine="405"/>
        <w:spacing w:after="0" w:line="286" w:lineRule="auto"/>
        <w:rPr>
          <w:sz w:val="20"/>
          <w:szCs w:val="20"/>
          <w:color w:val="auto"/>
        </w:rPr>
      </w:pPr>
      <w:r>
        <w:rPr>
          <w:rFonts w:ascii="Arial" w:cs="Arial" w:eastAsia="Arial" w:hAnsi="Arial"/>
          <w:sz w:val="16"/>
          <w:szCs w:val="16"/>
          <w:color w:val="auto"/>
        </w:rPr>
        <w:t>No amounts have been accrued or have been paid during any period presented as we believe the fair value of these indemnification obligations is immaterial.</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Stockholders’ Equity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Repurchase Program</w:t>
      </w:r>
    </w:p>
    <w:p>
      <w:pPr>
        <w:spacing w:after="0" w:line="125"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In October 2023, our board of directors approved a stock repurchase program authorizing repurchases of our common stock with no fixed expiration. In February 2026, our board of directors approved a $100.0 million increase in our stock repurchase program, bringing the aggregate amount authorized to $415.0 million. Under this program, we are authorized to repurchase our common stock through any manner, including open market transactions, accelerated stock repurchase agreements, or privately negotiated transactions with third parties, and in such amounts as management deems appropriate. Open market repurchases may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repurchase any particular amount of common stock and may be modified, suspended or terminated at any time at the discretion of our board of directors. Shares repurchased under our stock repurchase program are purchased for immediate retirement.</w:t>
      </w:r>
    </w:p>
    <w:p>
      <w:pPr>
        <w:spacing w:after="0" w:line="69"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During the three months ended September 30, 2026, we repurchased a total of 2.5 million shares of our common stock through open market purchases and Rule 10b5-1 plans at an average per share price of $5.90 for a total repurchase of $14.6 million, including broker commissions. During the nine months ended September 30, 2026, we repurchased a total of 15.1 million shares of our common stock through open market purchases and Rule 10b5-1 plans at an average per share price of $6.87 for a total repurchase of $103.6 million, including broker commissions. The repurchases were recorded as a reduction to stockholders’ equity in the unaudited condensed consolidated balance sheets. Approximately $65.8 million remained available for future repurchases of our common stock under the stock repurchase program as of September 30, 2026.</w:t>
      </w:r>
    </w:p>
    <w:p>
      <w:pPr>
        <w:spacing w:after="0" w:line="68"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The Inflation Reduction Act of 2022, enacted in August 2022, imposed a 1% non-deductible excise tax on net repurchases of shares by domestic corporations whose stock is traded on an established securities market. Consequently, this excise tax is applicable to shares of stock repurchased pursuant to our stock repurchase program beginning in 2023 and represents a cost of the repurchases of our common stock. We have recognized an excise tax liability of $0.8 million as of September 30, 2026 because the fair market value of the stock repurchases exceeded the fair market value of the stock issuances during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Note 8. Stock-based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25" w:lineRule="exact"/>
        <w:rPr>
          <w:sz w:val="20"/>
          <w:szCs w:val="20"/>
          <w:color w:val="auto"/>
        </w:rPr>
      </w:pPr>
    </w:p>
    <w:p>
      <w:pPr>
        <w:ind w:right="260" w:firstLine="405"/>
        <w:spacing w:after="0" w:line="286" w:lineRule="auto"/>
        <w:rPr>
          <w:sz w:val="20"/>
          <w:szCs w:val="20"/>
          <w:color w:val="auto"/>
        </w:rPr>
      </w:pPr>
      <w:r>
        <w:rPr>
          <w:rFonts w:ascii="Arial" w:cs="Arial" w:eastAsia="Arial" w:hAnsi="Arial"/>
          <w:sz w:val="16"/>
          <w:szCs w:val="16"/>
          <w:color w:val="auto"/>
        </w:rPr>
        <w:t>We recorded stock-based compensation expense in the following categories in the accompanying unaudited condensed consolidated statements of operations and balance sheets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tcPr>
          <w:p>
            <w:pPr>
              <w:spacing w:after="0"/>
              <w:rPr>
                <w:sz w:val="18"/>
                <w:szCs w:val="18"/>
                <w:color w:val="auto"/>
              </w:rPr>
            </w:pPr>
          </w:p>
        </w:tc>
        <w:tc>
          <w:tcPr>
            <w:tcW w:w="4020" w:type="dxa"/>
            <w:vAlign w:val="bottom"/>
            <w:gridSpan w:val="7"/>
          </w:tcPr>
          <w:p>
            <w:pPr>
              <w:ind w:left="1080"/>
              <w:spacing w:after="0"/>
              <w:rPr>
                <w:sz w:val="20"/>
                <w:szCs w:val="20"/>
                <w:color w:val="auto"/>
              </w:rPr>
            </w:pPr>
            <w:r>
              <w:rPr>
                <w:rFonts w:ascii="Arial" w:cs="Arial" w:eastAsia="Arial" w:hAnsi="Arial"/>
                <w:sz w:val="16"/>
                <w:szCs w:val="16"/>
                <w:b w:val="1"/>
                <w:bCs w:val="1"/>
                <w:color w:val="auto"/>
              </w:rPr>
              <w:t>Three Months Ended September 30,</w:t>
            </w:r>
          </w:p>
        </w:tc>
        <w:tc>
          <w:tcPr>
            <w:tcW w:w="282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44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4,159</w:t>
            </w: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12,685</w:t>
            </w: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11,575</w:t>
            </w:r>
          </w:p>
        </w:tc>
      </w:tr>
      <w:tr>
        <w:trPr>
          <w:trHeight w:val="24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40,511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60,344</w:t>
            </w:r>
          </w:p>
        </w:tc>
      </w:tr>
      <w:tr>
        <w:trPr>
          <w:trHeight w:val="211"/>
        </w:trPr>
        <w:tc>
          <w:tcPr>
            <w:tcW w:w="4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stock-based compensation expense</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88,763</w:t>
            </w:r>
          </w:p>
        </w:tc>
      </w:tr>
      <w:tr>
        <w:trPr>
          <w:trHeight w:val="215"/>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 capitalized to internal-use software</w:t>
            </w:r>
          </w:p>
        </w:tc>
        <w:tc>
          <w:tcPr>
            <w:tcW w:w="1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4,253</w:t>
            </w:r>
          </w:p>
        </w:tc>
      </w:tr>
      <w:tr>
        <w:trPr>
          <w:trHeight w:val="235"/>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stock-based compensation</w:t>
            </w:r>
          </w:p>
        </w:tc>
        <w:tc>
          <w:tcPr>
            <w:tcW w:w="1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93,016</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w:t>
      </w:r>
    </w:p>
    <w:p>
      <w:pPr>
        <w:spacing w:after="0" w:line="125" w:lineRule="exact"/>
        <w:rPr>
          <w:sz w:val="20"/>
          <w:szCs w:val="20"/>
          <w:color w:val="auto"/>
        </w:rPr>
      </w:pPr>
    </w:p>
    <w:p>
      <w:pPr>
        <w:ind w:right="60" w:firstLine="405"/>
        <w:spacing w:after="0" w:line="266" w:lineRule="auto"/>
        <w:rPr>
          <w:sz w:val="20"/>
          <w:szCs w:val="20"/>
          <w:color w:val="auto"/>
        </w:rPr>
      </w:pPr>
      <w:r>
        <w:rPr>
          <w:rFonts w:ascii="Arial" w:cs="Arial" w:eastAsia="Arial" w:hAnsi="Arial"/>
          <w:sz w:val="16"/>
          <w:szCs w:val="16"/>
          <w:color w:val="auto"/>
        </w:rPr>
        <w:t>During the three and nine months ended September 30, 2026, we granted 0.7 million and 11.4 million restricted stock units (“RSUs”), respectively, with a total grant date fair value of $3.9 million and $74.9 million, respectively, to various employees. RSUs are measured based on the fair market value of the underlying stock on the date of grant and recognized as expense over the requisite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Stock Units</w:t>
      </w:r>
    </w:p>
    <w:p>
      <w:pPr>
        <w:spacing w:after="0" w:line="111" w:lineRule="exact"/>
        <w:rPr>
          <w:sz w:val="20"/>
          <w:szCs w:val="20"/>
          <w:color w:val="auto"/>
        </w:rPr>
      </w:pPr>
    </w:p>
    <w:p>
      <w:pPr>
        <w:ind w:right="40" w:firstLine="405"/>
        <w:spacing w:after="0" w:line="261" w:lineRule="auto"/>
        <w:rPr>
          <w:sz w:val="20"/>
          <w:szCs w:val="20"/>
          <w:color w:val="auto"/>
        </w:rPr>
      </w:pPr>
      <w:r>
        <w:rPr>
          <w:rFonts w:ascii="Arial" w:cs="Arial" w:eastAsia="Arial" w:hAnsi="Arial"/>
          <w:sz w:val="16"/>
          <w:szCs w:val="16"/>
          <w:color w:val="auto"/>
        </w:rPr>
        <w:t>During the three months ended March 31, 2026, we granted 3.6 million performance stock units (“2026 PSUs”) to members of the senior leadership team. During the three months ended June 30, 2026, we granted 1.7 million 2026 PSUs to a member of the senior leadership team. The 2026 PSUs granted during the nine months ended September 30, 2026 consist of two performance components: revenue and total shareholder return (“TSR”). The number of shares ultimately issuable under each component of the 2026 PSUs is based on the Company’s achievement relative to certain performance targets, continuous employment over the requisite service period as well as certification of results by the compensation committee of the board of directors following each applicable performance period.</w:t>
      </w:r>
    </w:p>
    <w:p>
      <w:pPr>
        <w:spacing w:after="0" w:line="82" w:lineRule="exact"/>
        <w:rPr>
          <w:sz w:val="20"/>
          <w:szCs w:val="20"/>
          <w:color w:val="auto"/>
        </w:rPr>
      </w:pPr>
    </w:p>
    <w:p>
      <w:pPr>
        <w:ind w:right="40" w:firstLine="405"/>
        <w:spacing w:after="0" w:line="257" w:lineRule="auto"/>
        <w:rPr>
          <w:sz w:val="20"/>
          <w:szCs w:val="20"/>
          <w:color w:val="auto"/>
        </w:rPr>
      </w:pPr>
      <w:r>
        <w:rPr>
          <w:rFonts w:ascii="Arial" w:cs="Arial" w:eastAsia="Arial" w:hAnsi="Arial"/>
          <w:sz w:val="16"/>
          <w:szCs w:val="16"/>
          <w:color w:val="auto"/>
        </w:rPr>
        <w:t>The revenue component of the 2026 PSUs represents 60% of the target award and achievement is measured based on the Company’s year-over-year revenue growth relative to pre-determined targets for three one-year performance periods ending on each of December 31, 2026, December 31, 2027, and December 31, 2028. Each annual performance period represents one-third of the awards that may be earned under the revenue component. The number of 2026 PSUs earned for each annual period may range from 0% to 300% of the number of awards allocated to each annual performance period. The grant-date fair value of the revenue component is based on the closing price of the Company’s common stock on the date of grant. Compensation expense for the revenue component is recognized over the requisite service period when achievement of the applicable performance condition is considered probable. The grant date fair value of the revenue component for grants issued during the three months ended March 31, 2026 and June 30, 2026 amounted to approximately $14.6 million and $6.0 million, respectively, both assuming achievement at 100% of target.</w:t>
      </w:r>
    </w:p>
    <w:p>
      <w:pPr>
        <w:spacing w:after="0" w:line="84" w:lineRule="exact"/>
        <w:rPr>
          <w:sz w:val="20"/>
          <w:szCs w:val="20"/>
          <w:color w:val="auto"/>
        </w:rPr>
      </w:pPr>
    </w:p>
    <w:p>
      <w:pPr>
        <w:ind w:right="60" w:firstLine="405"/>
        <w:spacing w:after="0" w:line="257" w:lineRule="auto"/>
        <w:rPr>
          <w:sz w:val="20"/>
          <w:szCs w:val="20"/>
          <w:color w:val="auto"/>
        </w:rPr>
      </w:pPr>
      <w:r>
        <w:rPr>
          <w:rFonts w:ascii="Arial" w:cs="Arial" w:eastAsia="Arial" w:hAnsi="Arial"/>
          <w:sz w:val="16"/>
          <w:szCs w:val="16"/>
          <w:color w:val="auto"/>
        </w:rPr>
        <w:t>The TSR component represents 40% of the target award and achievement is measured based on the Company’s TSR percentile against a pre-determined peer set over two performance periods, each beginning January 1, 2026 and ending December 31, 2027 and December 31, 2028. Each performance period represents 50% of the awards that may be earned pursuant to the TSR component. The number of 2026 PSUs earned for each performance period may range from 0% to 400% of the number of awards allocated to each performance period. The grant-date fair value of the TSR component is estimated using a Monte Carlo simulation model as vesting depends on a market condition. Compensation expense for the TSR component is recognized over the longer of the requisite or derived service period regardless of whether the market condition is ultimately achieved. The Company estimated the weighted-average fair value of the TSR component for grants issued during the three months ended March 31, 2026 and June 30, 2026 to be approximately $17.9 million and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$5.8 million, respectively. The assumptions to the Monte Carlo simulation used to calculate the grant date fair value of the TSR component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938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March 31,</w:t>
            </w:r>
          </w:p>
        </w:tc>
      </w:tr>
      <w:tr>
        <w:trPr>
          <w:trHeight w:val="209"/>
        </w:trPr>
        <w:tc>
          <w:tcPr>
            <w:tcW w:w="938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2026</w:t>
            </w:r>
          </w:p>
        </w:tc>
      </w:tr>
      <w:tr>
        <w:trPr>
          <w:trHeight w:val="209"/>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(years)</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5"/>
        </w:trPr>
        <w:tc>
          <w:tcPr>
            <w:tcW w:w="938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72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17"/>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54.2 %</w:t>
            </w:r>
          </w:p>
        </w:tc>
      </w:tr>
      <w:tr>
        <w:trPr>
          <w:trHeight w:val="215"/>
        </w:trPr>
        <w:tc>
          <w:tcPr>
            <w:tcW w:w="938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w:t>
            </w:r>
          </w:p>
        </w:tc>
      </w:tr>
    </w:tbl>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938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June 30,</w:t>
            </w:r>
          </w:p>
        </w:tc>
      </w:tr>
      <w:tr>
        <w:trPr>
          <w:trHeight w:val="210"/>
        </w:trPr>
        <w:tc>
          <w:tcPr>
            <w:tcW w:w="938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2026</w:t>
            </w:r>
          </w:p>
        </w:tc>
      </w:tr>
      <w:tr>
        <w:trPr>
          <w:trHeight w:val="209"/>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(years)</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938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72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17"/>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54.7 %</w:t>
            </w:r>
          </w:p>
        </w:tc>
      </w:tr>
      <w:tr>
        <w:trPr>
          <w:trHeight w:val="215"/>
        </w:trPr>
        <w:tc>
          <w:tcPr>
            <w:tcW w:w="938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ind w:right="340" w:firstLine="405"/>
        <w:spacing w:after="0" w:line="260" w:lineRule="auto"/>
        <w:rPr>
          <w:sz w:val="20"/>
          <w:szCs w:val="20"/>
          <w:color w:val="auto"/>
        </w:rPr>
      </w:pPr>
      <w:r>
        <w:rPr>
          <w:rFonts w:ascii="Arial" w:cs="Arial" w:eastAsia="Arial" w:hAnsi="Arial"/>
          <w:sz w:val="16"/>
          <w:szCs w:val="16"/>
          <w:color w:val="auto"/>
        </w:rPr>
        <w:t>We recognized $4.4 million and $8.5 million in stock-based compensation expense during the three and nine months ended September 30, 2026, respectively, related to the 2026 PSUs. In addition, we recognized $1.8 million and $13.3 million in stock-based compensation expense during the three months ended September 30, 2026 and 2025, respectively, and $11.1 million and $40.0 million in stock-based compensation expense during the nine months ended September 30, 2026 and 2025, respectively, related to performance stock units (“PSUs”) with a market-based condition that were granted during the year ended December 31, 2024.</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Income Taxes</w:t>
      </w:r>
    </w:p>
    <w:p>
      <w:pPr>
        <w:spacing w:after="0" w:line="113"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We recorded a provision for income taxes of $6.8 million and $16.5 million for the three and nine months ended September 30, 2026, respectively. We recorded a provision for income taxes of $3.9 million and a provision of $9.1 million for the three and nine months ended September 30, 2025, respectively. The effective tax rate was 46% for each of the three months ended September 30, 2026 and 2025. The effective tax rate for the nine months ended September 30, 2026 and 2025 was 53% and 49%, respectively. The difference from the federal statutory rate of 21% is primarily due to the recognition of significant non-deductible stock-based compensation and other discrete adjustments.</w:t>
      </w:r>
    </w:p>
    <w:p>
      <w:pPr>
        <w:spacing w:after="0" w:line="64" w:lineRule="exact"/>
        <w:rPr>
          <w:sz w:val="20"/>
          <w:szCs w:val="20"/>
          <w:color w:val="auto"/>
        </w:rPr>
      </w:pPr>
    </w:p>
    <w:p>
      <w:pPr>
        <w:ind w:right="60" w:firstLine="405"/>
        <w:spacing w:after="0" w:line="265" w:lineRule="auto"/>
        <w:rPr>
          <w:sz w:val="20"/>
          <w:szCs w:val="20"/>
          <w:color w:val="auto"/>
        </w:rPr>
      </w:pPr>
      <w:r>
        <w:rPr>
          <w:rFonts w:ascii="Arial" w:cs="Arial" w:eastAsia="Arial" w:hAnsi="Arial"/>
          <w:sz w:val="16"/>
          <w:szCs w:val="16"/>
          <w:color w:val="auto"/>
        </w:rPr>
        <w:t>Gross unrecognized tax benefits were $17.9 million and $16.8 million as of September 30, 2026 and December 31, 2025, respectively. The gross unrecognized tax benefits, if recognized by us, will result in a reduction of approximately $17.3 million, excluding interest and penalties, to the provision for income taxes, thereby favorably impacting our effective tax rate. Our policy is to recognize interest and penalties related to income tax matters in income tax expense. For the periods presented, interest and penalties related to income tax positions were not material to our unaudited condensed consolidated financial statements.</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subject to taxation and file income tax returns in the U.S. federal, state, and foreign jurisdictions. The federal income tax returns for the years</w:t>
      </w:r>
    </w:p>
    <w:p>
      <w:pPr>
        <w:spacing w:after="0" w:line="21"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2022 and forward and state income tax returns for the tax years 2008 and forward remain open to examination. We are under examination for federal tax year 2023 and one state which are not expected to have an impact on our results of operations, cash flows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Net Income Per Share</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computation of basic and diluted net income per share (in thousands, except per share amounts):</w:t>
      </w:r>
    </w:p>
    <w:p>
      <w:pPr>
        <w:spacing w:after="0" w:line="262" w:lineRule="exact"/>
        <w:rPr>
          <w:sz w:val="20"/>
          <w:szCs w:val="20"/>
          <w:color w:val="auto"/>
        </w:rPr>
      </w:pPr>
    </w:p>
    <w:tbl>
      <w:tblPr>
        <w:tblLayout w:type="fixed"/>
        <w:tblInd w:w="5540" w:type="dxa"/>
        <w:tblCellMar>
          <w:top w:w="0" w:type="dxa"/>
          <w:left w:w="0" w:type="dxa"/>
          <w:bottom w:w="0" w:type="dxa"/>
          <w:right w:w="0" w:type="dxa"/>
        </w:tblCellMar>
      </w:tblPr>
      <w:tr>
        <w:trPr>
          <w:trHeight w:val="217"/>
        </w:trPr>
        <w:tc>
          <w:tcPr>
            <w:tcW w:w="2900" w:type="dxa"/>
            <w:vAlign w:val="bottom"/>
            <w:gridSpan w:val="3"/>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80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6"/>
        </w:trPr>
        <w:tc>
          <w:tcPr>
            <w:tcW w:w="14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4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4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15875</wp:posOffset>
            </wp:positionV>
            <wp:extent cx="36175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7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0" w:name="page21"/>
    <w:bookmarkEnd w:id="20"/>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Denominator:</w:t>
      </w:r>
    </w:p>
    <w:p>
      <w:pPr>
        <w:spacing w:after="0" w:line="39" w:lineRule="exact"/>
        <w:rPr>
          <w:sz w:val="20"/>
          <w:szCs w:val="20"/>
          <w:color w:val="auto"/>
        </w:rPr>
      </w:pPr>
    </w:p>
    <w:p>
      <w:pPr>
        <w:ind w:left="300" w:hanging="161"/>
        <w:spacing w:after="0" w:line="242" w:lineRule="auto"/>
        <w:rPr>
          <w:sz w:val="20"/>
          <w:szCs w:val="20"/>
          <w:color w:val="auto"/>
        </w:rPr>
      </w:pPr>
      <w:r>
        <w:rPr>
          <w:rFonts w:ascii="Arial" w:cs="Arial" w:eastAsia="Arial" w:hAnsi="Arial"/>
          <w:sz w:val="16"/>
          <w:szCs w:val="16"/>
          <w:color w:val="auto"/>
        </w:rPr>
        <w:t>Weighted-average common stock used in computing net income per share — basic</w:t>
      </w:r>
    </w:p>
    <w:p>
      <w:pPr>
        <w:ind w:left="180"/>
        <w:spacing w:after="0"/>
        <w:rPr>
          <w:sz w:val="20"/>
          <w:szCs w:val="20"/>
          <w:color w:val="auto"/>
        </w:rPr>
      </w:pPr>
      <w:r>
        <w:rPr>
          <w:rFonts w:ascii="Arial" w:cs="Arial" w:eastAsia="Arial" w:hAnsi="Arial"/>
          <w:sz w:val="16"/>
          <w:szCs w:val="16"/>
          <w:color w:val="auto"/>
        </w:rPr>
        <w:t>Effect of potentially dilutive 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92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2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09"/>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9,370</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58"/>
        </w:trPr>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167,185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180,057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172,749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179,231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-375285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1270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5020" w:space="480"/>
            <w:col w:w="5740"/>
          </w:cols>
          <w:pgMar w:left="320" w:top="1192"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5500" w:type="dxa"/>
            <w:vAlign w:val="bottom"/>
          </w:tcPr>
          <w:p>
            <w:pPr>
              <w:ind w:left="520"/>
              <w:spacing w:after="0"/>
              <w:rPr>
                <w:sz w:val="20"/>
                <w:szCs w:val="20"/>
                <w:color w:val="auto"/>
              </w:rPr>
            </w:pPr>
            <w:r>
              <w:rPr>
                <w:rFonts w:ascii="Arial" w:cs="Arial" w:eastAsia="Arial" w:hAnsi="Arial"/>
                <w:sz w:val="16"/>
                <w:szCs w:val="16"/>
                <w:color w:val="auto"/>
              </w:rPr>
              <w:t>Options to purchase common stock</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RSU and PSUs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6,009</w:t>
            </w:r>
          </w:p>
        </w:tc>
        <w:tc>
          <w:tcPr>
            <w:tcW w:w="0" w:type="dxa"/>
            <w:vAlign w:val="bottom"/>
          </w:tcPr>
          <w:p>
            <w:pPr>
              <w:spacing w:after="0"/>
              <w:rPr>
                <w:sz w:val="1"/>
                <w:szCs w:val="1"/>
                <w:color w:val="auto"/>
              </w:rPr>
            </w:pPr>
          </w:p>
        </w:tc>
      </w:tr>
      <w:tr>
        <w:trPr>
          <w:trHeight w:val="215"/>
        </w:trPr>
        <w:tc>
          <w:tcPr>
            <w:tcW w:w="55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Employee stock purchase plan</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43"/>
        </w:trPr>
        <w:tc>
          <w:tcPr>
            <w:tcW w:w="55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Weighted-average common stock used in computing net income per share</w:t>
            </w:r>
          </w:p>
        </w:tc>
        <w:tc>
          <w:tcPr>
            <w:tcW w:w="4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168,942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186,731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175,323</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185,329</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 diluted</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20" w:firstLine="405"/>
        <w:spacing w:after="0" w:line="272" w:lineRule="auto"/>
        <w:rPr>
          <w:sz w:val="20"/>
          <w:szCs w:val="20"/>
          <w:color w:val="auto"/>
        </w:rPr>
      </w:pPr>
      <w:r>
        <w:rPr>
          <w:rFonts w:ascii="Arial" w:cs="Arial" w:eastAsia="Arial" w:hAnsi="Arial"/>
          <w:sz w:val="16"/>
          <w:szCs w:val="16"/>
          <w:color w:val="auto"/>
        </w:rPr>
        <w:t>The following table presents the number of stock options, RSUs, and PSUs, excluded from the calculation of diluted net income per share because they are anti-dilutive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tcPr>
          <w:p>
            <w:pPr>
              <w:spacing w:after="0"/>
              <w:rPr>
                <w:sz w:val="18"/>
                <w:szCs w:val="18"/>
                <w:color w:val="auto"/>
              </w:rPr>
            </w:pPr>
          </w:p>
        </w:tc>
        <w:tc>
          <w:tcPr>
            <w:tcW w:w="4380" w:type="dxa"/>
            <w:vAlign w:val="bottom"/>
            <w:gridSpan w:val="5"/>
          </w:tcPr>
          <w:p>
            <w:pPr>
              <w:ind w:left="1460"/>
              <w:spacing w:after="0"/>
              <w:rPr>
                <w:sz w:val="20"/>
                <w:szCs w:val="20"/>
                <w:color w:val="auto"/>
              </w:rPr>
            </w:pPr>
            <w:r>
              <w:rPr>
                <w:rFonts w:ascii="Arial" w:cs="Arial" w:eastAsia="Arial" w:hAnsi="Arial"/>
                <w:sz w:val="16"/>
                <w:szCs w:val="16"/>
                <w:b w:val="1"/>
                <w:bCs w:val="1"/>
                <w:color w:val="auto"/>
              </w:rPr>
              <w:t>Three Months Ended September 30,</w:t>
            </w:r>
          </w:p>
        </w:tc>
        <w:tc>
          <w:tcPr>
            <w:tcW w:w="282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40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10"/>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to purchase common stock</w:t>
            </w:r>
          </w:p>
        </w:tc>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4,992</w:t>
            </w: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RSU and PSUs</w:t>
            </w:r>
            <w:r>
              <w:rPr>
                <w:rFonts w:ascii="Arial" w:cs="Arial" w:eastAsia="Arial" w:hAnsi="Arial"/>
                <w:sz w:val="21"/>
                <w:szCs w:val="21"/>
                <w:color w:val="auto"/>
                <w:vertAlign w:val="superscript"/>
              </w:rPr>
              <w:t>(1)</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26,505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14,734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22,489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18,221</w:t>
            </w: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4040" w:type="dxa"/>
            <w:vAlign w:val="bottom"/>
          </w:tcPr>
          <w:p>
            <w:pPr>
              <w:ind w:left="440"/>
              <w:spacing w:after="0"/>
              <w:rPr>
                <w:sz w:val="20"/>
                <w:szCs w:val="20"/>
                <w:color w:val="auto"/>
              </w:rPr>
            </w:pPr>
            <w:r>
              <w:rPr>
                <w:rFonts w:ascii="Arial" w:cs="Arial" w:eastAsia="Arial" w:hAnsi="Arial"/>
                <w:sz w:val="16"/>
                <w:szCs w:val="16"/>
                <w:color w:val="auto"/>
              </w:rPr>
              <w:t>Total</w:t>
            </w:r>
          </w:p>
        </w:tc>
        <w:tc>
          <w:tcPr>
            <w:tcW w:w="14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31,617</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17,598</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27,711</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23,241</w:t>
            </w:r>
          </w:p>
        </w:tc>
      </w:tr>
      <w:tr>
        <w:trPr>
          <w:trHeight w:val="20"/>
        </w:trPr>
        <w:tc>
          <w:tcPr>
            <w:tcW w:w="4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2026, anti-dilutive PSUs include the 2026 PSUs reflected at 100% of target, as well as PSUs</w:t>
      </w:r>
    </w:p>
    <w:p>
      <w:pPr>
        <w:spacing w:after="0" w:line="21" w:lineRule="exact"/>
        <w:rPr>
          <w:rFonts w:ascii="Arial" w:cs="Arial" w:eastAsia="Arial" w:hAnsi="Arial"/>
          <w:sz w:val="16"/>
          <w:szCs w:val="16"/>
          <w:color w:val="auto"/>
        </w:rPr>
      </w:pPr>
    </w:p>
    <w:p>
      <w:pPr>
        <w:ind w:right="220"/>
        <w:spacing w:after="0" w:line="264" w:lineRule="auto"/>
        <w:rPr>
          <w:rFonts w:ascii="Arial" w:cs="Arial" w:eastAsia="Arial" w:hAnsi="Arial"/>
          <w:sz w:val="16"/>
          <w:szCs w:val="16"/>
          <w:color w:val="auto"/>
        </w:rPr>
      </w:pPr>
      <w:r>
        <w:rPr>
          <w:rFonts w:ascii="Arial" w:cs="Arial" w:eastAsia="Arial" w:hAnsi="Arial"/>
          <w:sz w:val="16"/>
          <w:szCs w:val="16"/>
          <w:color w:val="auto"/>
        </w:rPr>
        <w:t>granted in July 2024 and November 2024 reflected at 200% and 275% of target, respectively. For the three and nine months ended September 30, 2025, anti-dilutive PSUs include PSUs granted in July 2024 and November 2024 reflected at 200% and 275% of target, respectively; PSUs granted in April 2025 previously reflected at 400% of target were forfeited during the three months ended September 30, 2025.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Fair Value Measurements</w:t>
      </w:r>
    </w:p>
    <w:p>
      <w:pPr>
        <w:spacing w:after="0" w:line="221"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Level 1 — Quoted prices in active markets for identical assets and liabilities.</w:t>
      </w:r>
    </w:p>
    <w:p>
      <w:pPr>
        <w:spacing w:after="0" w:line="113" w:lineRule="exact"/>
        <w:rPr>
          <w:sz w:val="20"/>
          <w:szCs w:val="20"/>
          <w:color w:val="auto"/>
        </w:rPr>
      </w:pPr>
    </w:p>
    <w:p>
      <w:pPr>
        <w:ind w:left="1140" w:hanging="728"/>
        <w:spacing w:after="0" w:line="286" w:lineRule="auto"/>
        <w:rPr>
          <w:sz w:val="20"/>
          <w:szCs w:val="20"/>
          <w:color w:val="auto"/>
        </w:rPr>
      </w:pPr>
      <w:r>
        <w:rPr>
          <w:rFonts w:ascii="Arial" w:cs="Arial" w:eastAsia="Arial" w:hAnsi="Arial"/>
          <w:sz w:val="16"/>
          <w:szCs w:val="16"/>
          <w:color w:val="auto"/>
        </w:rPr>
        <w:t>Level 2 — Quoted prices for identical assets and liabilities in markets that are not active, quoted prices for similar assets and liabilities in active markets or financial instruments for which significant inputs are observable, either directly or indirectly.</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13" w:lineRule="exact"/>
        <w:rPr>
          <w:sz w:val="20"/>
          <w:szCs w:val="20"/>
          <w:color w:val="auto"/>
        </w:rPr>
      </w:pPr>
    </w:p>
    <w:p>
      <w:pPr>
        <w:jc w:val="both"/>
        <w:ind w:right="300" w:firstLine="405"/>
        <w:spacing w:after="0" w:line="304" w:lineRule="auto"/>
        <w:rPr>
          <w:sz w:val="20"/>
          <w:szCs w:val="20"/>
          <w:color w:val="auto"/>
        </w:rPr>
      </w:pPr>
      <w:r>
        <w:rPr>
          <w:rFonts w:ascii="Arial" w:cs="Arial" w:eastAsia="Arial" w:hAnsi="Arial"/>
          <w:sz w:val="16"/>
          <w:szCs w:val="16"/>
          <w:color w:val="auto"/>
        </w:rPr>
        <w:t>As of September 30, 2026 and December 31, 2025, our financial assets recorded at fair value on a recurring basis consist of cash equivalents. The cash equivalents consist of money market funds valued using quoted prices in active markets, which represents Level 1 inputs in the fair value hierarchy.</w:t>
      </w:r>
    </w:p>
    <w:p>
      <w:pPr>
        <w:spacing w:after="0" w:line="33"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The carrying amounts of accounts receivable, accounts payable and accrued expenses and other current liabilities approximate fair values because of the short-term nature of these items.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21" w:name="page22"/>
    <w:bookmarkEnd w:id="21"/>
    <w:p>
      <w:pPr>
        <w:ind w:right="40" w:firstLine="405"/>
        <w:spacing w:after="0" w:line="281" w:lineRule="auto"/>
        <w:rPr>
          <w:sz w:val="20"/>
          <w:szCs w:val="20"/>
          <w:color w:val="auto"/>
        </w:rPr>
      </w:pPr>
      <w:r>
        <w:rPr>
          <w:rFonts w:ascii="Arial" w:cs="Arial" w:eastAsia="Arial" w:hAnsi="Arial"/>
          <w:sz w:val="16"/>
          <w:szCs w:val="16"/>
          <w:color w:val="auto"/>
        </w:rPr>
        <w:t>The following tables summarize our assets and liabilities that are measured at fair value on a recurring basis, by level, within the fair value hierarchy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As of September 30, 2026</w:t>
            </w:r>
          </w:p>
        </w:tc>
        <w:tc>
          <w:tcPr>
            <w:tcW w:w="1080" w:type="dxa"/>
            <w:vAlign w:val="bottom"/>
            <w:tcBorders>
              <w:bottom w:val="single" w:sz="8" w:color="auto"/>
            </w:tcBorders>
          </w:tcPr>
          <w:p>
            <w:pPr>
              <w:spacing w:after="0"/>
              <w:rPr>
                <w:sz w:val="18"/>
                <w:szCs w:val="18"/>
                <w:color w:val="auto"/>
              </w:rPr>
            </w:pPr>
          </w:p>
        </w:tc>
      </w:tr>
      <w:tr>
        <w:trPr>
          <w:trHeight w:val="216"/>
        </w:trPr>
        <w:tc>
          <w:tcPr>
            <w:tcW w:w="6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8"/>
                <w:szCs w:val="18"/>
                <w:color w:val="auto"/>
              </w:rPr>
            </w:pPr>
          </w:p>
        </w:tc>
        <w:tc>
          <w:tcPr>
            <w:tcW w:w="1080" w:type="dxa"/>
            <w:vAlign w:val="bottom"/>
          </w:tcPr>
          <w:p>
            <w:pPr>
              <w:ind w:left="120"/>
              <w:spacing w:after="0"/>
              <w:rPr>
                <w:sz w:val="20"/>
                <w:szCs w:val="20"/>
                <w:color w:val="auto"/>
              </w:rPr>
            </w:pPr>
            <w:r>
              <w:rPr>
                <w:rFonts w:ascii="Arial" w:cs="Arial" w:eastAsia="Arial" w:hAnsi="Arial"/>
                <w:sz w:val="16"/>
                <w:szCs w:val="16"/>
                <w:b w:val="1"/>
                <w:bCs w:val="1"/>
                <w:color w:val="auto"/>
              </w:rPr>
              <w:t>Level 3</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157,606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209"/>
        </w:trPr>
        <w:tc>
          <w:tcPr>
            <w:tcW w:w="692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157,606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r>
      <w:tr>
        <w:trPr>
          <w:trHeight w:val="21"/>
        </w:trPr>
        <w:tc>
          <w:tcPr>
            <w:tcW w:w="6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22"/>
        </w:trPr>
        <w:tc>
          <w:tcPr>
            <w:tcW w:w="6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As of December 31, 2025</w:t>
            </w:r>
          </w:p>
        </w:tc>
        <w:tc>
          <w:tcPr>
            <w:tcW w:w="1080" w:type="dxa"/>
            <w:vAlign w:val="bottom"/>
            <w:tcBorders>
              <w:bottom w:val="single" w:sz="8" w:color="auto"/>
            </w:tcBorders>
          </w:tcPr>
          <w:p>
            <w:pPr>
              <w:spacing w:after="0"/>
              <w:rPr>
                <w:sz w:val="24"/>
                <w:szCs w:val="24"/>
                <w:color w:val="auto"/>
              </w:rPr>
            </w:pPr>
          </w:p>
        </w:tc>
      </w:tr>
      <w:tr>
        <w:trPr>
          <w:trHeight w:val="220"/>
        </w:trPr>
        <w:tc>
          <w:tcPr>
            <w:tcW w:w="6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9"/>
                <w:szCs w:val="19"/>
                <w:color w:val="auto"/>
              </w:rPr>
            </w:pPr>
          </w:p>
        </w:tc>
        <w:tc>
          <w:tcPr>
            <w:tcW w:w="1080" w:type="dxa"/>
            <w:vAlign w:val="bottom"/>
          </w:tcPr>
          <w:p>
            <w:pPr>
              <w:ind w:left="120"/>
              <w:spacing w:after="0"/>
              <w:rPr>
                <w:sz w:val="20"/>
                <w:szCs w:val="20"/>
                <w:color w:val="auto"/>
              </w:rPr>
            </w:pPr>
            <w:r>
              <w:rPr>
                <w:rFonts w:ascii="Arial" w:cs="Arial" w:eastAsia="Arial" w:hAnsi="Arial"/>
                <w:sz w:val="16"/>
                <w:szCs w:val="16"/>
                <w:b w:val="1"/>
                <w:bCs w:val="1"/>
                <w:color w:val="auto"/>
              </w:rPr>
              <w:t>Level 3</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180,778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6"/>
                <w:szCs w:val="16"/>
                <w:color w:val="auto"/>
              </w:rPr>
              <w:t>—</w:t>
            </w:r>
          </w:p>
        </w:tc>
      </w:tr>
      <w:tr>
        <w:trPr>
          <w:trHeight w:val="21"/>
        </w:trPr>
        <w:tc>
          <w:tcPr>
            <w:tcW w:w="6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Segment Information</w:t>
      </w:r>
    </w:p>
    <w:p>
      <w:pPr>
        <w:spacing w:after="0" w:line="113"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 xml:space="preserve">Our Chief Executive Officer, as the CODM, organizes our company, manages resource allocations, and measures performance on the basis of one operating segment on a consolidated basis. The accounting policies of our operating segment are the same as those described in Note 2, </w:t>
      </w:r>
      <w:r>
        <w:rPr>
          <w:rFonts w:ascii="Arial" w:cs="Arial" w:eastAsia="Arial" w:hAnsi="Arial"/>
          <w:sz w:val="16"/>
          <w:szCs w:val="16"/>
          <w:i w:val="1"/>
          <w:iCs w:val="1"/>
          <w:color w:val="auto"/>
        </w:rPr>
        <w:t>Summary of</w:t>
      </w:r>
      <w:r>
        <w:rPr>
          <w:rFonts w:ascii="Arial" w:cs="Arial" w:eastAsia="Arial" w:hAnsi="Arial"/>
          <w:sz w:val="16"/>
          <w:szCs w:val="16"/>
          <w:color w:val="auto"/>
        </w:rPr>
        <w:t xml:space="preserve">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The CODM assesses performance for the segment and decides how to allocate resources based on net income that also is</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on the accompanying unaudited condensed consolidated statements of operations as consolidated net income. The measure of segment assets is reported on the unaudited condensed consolidated balance sheets as total assets.</w:t>
      </w:r>
    </w:p>
    <w:p>
      <w:pPr>
        <w:spacing w:after="0" w:line="64" w:lineRule="exact"/>
        <w:rPr>
          <w:sz w:val="20"/>
          <w:szCs w:val="20"/>
          <w:color w:val="auto"/>
        </w:rPr>
      </w:pPr>
    </w:p>
    <w:p>
      <w:pPr>
        <w:ind w:right="140" w:firstLine="405"/>
        <w:spacing w:after="0" w:line="304" w:lineRule="auto"/>
        <w:rPr>
          <w:sz w:val="20"/>
          <w:szCs w:val="20"/>
          <w:color w:val="auto"/>
        </w:rPr>
      </w:pPr>
      <w:r>
        <w:rPr>
          <w:rFonts w:ascii="Arial" w:cs="Arial" w:eastAsia="Arial" w:hAnsi="Arial"/>
          <w:sz w:val="16"/>
          <w:szCs w:val="16"/>
          <w:color w:val="auto"/>
        </w:rPr>
        <w:t>The CODM uses net income to evaluate income generated from segment assets in making key operating and segment resource allocation decisions, such as investments in new product development. Net income is also used to monitor budget versus actual results.</w:t>
      </w:r>
    </w:p>
    <w:p>
      <w:pPr>
        <w:spacing w:after="0" w:line="33"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 xml:space="preserve">Our one reportable segment provides an online platform for business formation in the U.S. and, as described in Note 2, </w:t>
      </w:r>
      <w:r>
        <w:rPr>
          <w:rFonts w:ascii="Arial" w:cs="Arial" w:eastAsia="Arial" w:hAnsi="Arial"/>
          <w:sz w:val="16"/>
          <w:szCs w:val="16"/>
          <w:i w:val="1"/>
          <w:iCs w:val="1"/>
          <w:color w:val="auto"/>
        </w:rPr>
        <w:t>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Policies, </w:t>
      </w:r>
      <w:r>
        <w:rPr>
          <w:rFonts w:ascii="Arial" w:cs="Arial" w:eastAsia="Arial" w:hAnsi="Arial"/>
          <w:sz w:val="16"/>
          <w:szCs w:val="16"/>
          <w:color w:val="auto"/>
        </w:rPr>
        <w:t>generates revenue from customized legal document services and subscriptions offered to our customers. Revenue outside of the U.S.,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location of the customer, represented less than 1% of our revenue for the three and nine months ended September 30, 2026 and 2025. Long-lived tangible assets located outside the U.S. represented approximately 11.4% of total long-lived tangible assets as of September 30, 2026. Long-lived tangible assets located outside the U.S. were immaterial as of December 31, 2025.</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financial information by reportable segment regularly provided to the CODM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80" w:type="dxa"/>
            <w:vAlign w:val="bottom"/>
          </w:tcPr>
          <w:p>
            <w:pPr>
              <w:spacing w:after="0"/>
              <w:rPr>
                <w:sz w:val="18"/>
                <w:szCs w:val="18"/>
                <w:color w:val="auto"/>
              </w:rPr>
            </w:pPr>
          </w:p>
        </w:tc>
        <w:tc>
          <w:tcPr>
            <w:tcW w:w="292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revenue</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204,263</w:t>
            </w:r>
          </w:p>
        </w:tc>
        <w:tc>
          <w:tcPr>
            <w:tcW w:w="0" w:type="dxa"/>
            <w:vAlign w:val="bottom"/>
          </w:tcPr>
          <w:p>
            <w:pPr>
              <w:spacing w:after="0"/>
              <w:rPr>
                <w:sz w:val="1"/>
                <w:szCs w:val="1"/>
                <w:color w:val="auto"/>
              </w:rPr>
            </w:pPr>
          </w:p>
        </w:tc>
      </w:tr>
      <w:tr>
        <w:trPr>
          <w:trHeight w:val="21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Subscription revenue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139,673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125,359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361,514</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190,158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607,216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565,777</w:t>
            </w:r>
          </w:p>
        </w:tc>
        <w:tc>
          <w:tcPr>
            <w:tcW w:w="0" w:type="dxa"/>
            <w:vAlign w:val="bottom"/>
          </w:tcPr>
          <w:p>
            <w:pPr>
              <w:spacing w:after="0"/>
              <w:rPr>
                <w:sz w:val="1"/>
                <w:szCs w:val="1"/>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Filings fees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76,752</w:t>
            </w:r>
          </w:p>
        </w:tc>
        <w:tc>
          <w:tcPr>
            <w:tcW w:w="0" w:type="dxa"/>
            <w:vAlign w:val="bottom"/>
          </w:tcPr>
          <w:p>
            <w:pPr>
              <w:spacing w:after="0"/>
              <w:rPr>
                <w:sz w:val="1"/>
                <w:szCs w:val="1"/>
                <w:color w:val="auto"/>
              </w:rPr>
            </w:pPr>
          </w:p>
        </w:tc>
      </w:tr>
      <w:tr>
        <w:trPr>
          <w:trHeight w:val="162"/>
        </w:trPr>
        <w:tc>
          <w:tcPr>
            <w:tcW w:w="5480" w:type="dxa"/>
            <w:vAlign w:val="bottom"/>
          </w:tcPr>
          <w:p>
            <w:pPr>
              <w:ind w:left="360"/>
              <w:spacing w:after="0" w:line="162" w:lineRule="exact"/>
              <w:rPr>
                <w:sz w:val="20"/>
                <w:szCs w:val="20"/>
                <w:color w:val="auto"/>
              </w:rPr>
            </w:pPr>
            <w:r>
              <w:rPr>
                <w:rFonts w:ascii="Arial" w:cs="Arial" w:eastAsia="Arial" w:hAnsi="Arial"/>
                <w:sz w:val="16"/>
                <w:szCs w:val="16"/>
                <w:color w:val="auto"/>
              </w:rPr>
              <w:t>Other cost of revenue, excluding depreciation, amortization and stock-</w:t>
            </w: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30,313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31,293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98,421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99,547</w:t>
            </w:r>
          </w:p>
        </w:tc>
        <w:tc>
          <w:tcPr>
            <w:tcW w:w="0" w:type="dxa"/>
            <w:vAlign w:val="bottom"/>
          </w:tcPr>
          <w:p>
            <w:pPr>
              <w:spacing w:after="0"/>
              <w:rPr>
                <w:sz w:val="1"/>
                <w:szCs w:val="1"/>
                <w:color w:val="auto"/>
              </w:rPr>
            </w:pPr>
          </w:p>
        </w:tc>
      </w:tr>
      <w:tr>
        <w:trPr>
          <w:trHeight w:val="215"/>
        </w:trPr>
        <w:tc>
          <w:tcPr>
            <w:tcW w:w="5480" w:type="dxa"/>
            <w:vAlign w:val="bottom"/>
          </w:tcPr>
          <w:p>
            <w:pPr>
              <w:ind w:left="360"/>
              <w:spacing w:after="0"/>
              <w:rPr>
                <w:sz w:val="20"/>
                <w:szCs w:val="20"/>
                <w:color w:val="auto"/>
              </w:rPr>
            </w:pPr>
            <w:r>
              <w:rPr>
                <w:rFonts w:ascii="Arial" w:cs="Arial" w:eastAsia="Arial" w:hAnsi="Arial"/>
                <w:sz w:val="16"/>
                <w:szCs w:val="16"/>
                <w:color w:val="auto"/>
              </w:rPr>
              <w:t>based compensation</w:t>
            </w: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acquisition marketing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135,156</w:t>
            </w:r>
          </w:p>
        </w:tc>
        <w:tc>
          <w:tcPr>
            <w:tcW w:w="0" w:type="dxa"/>
            <w:vAlign w:val="bottom"/>
          </w:tcPr>
          <w:p>
            <w:pPr>
              <w:spacing w:after="0"/>
              <w:rPr>
                <w:sz w:val="1"/>
                <w:szCs w:val="1"/>
                <w:color w:val="auto"/>
              </w:rPr>
            </w:pPr>
          </w:p>
        </w:tc>
      </w:tr>
      <w:tr>
        <w:trPr>
          <w:trHeight w:val="162"/>
        </w:trPr>
        <w:tc>
          <w:tcPr>
            <w:tcW w:w="5480" w:type="dxa"/>
            <w:vAlign w:val="bottom"/>
          </w:tcPr>
          <w:p>
            <w:pPr>
              <w:ind w:left="360"/>
              <w:spacing w:after="0" w:line="162" w:lineRule="exact"/>
              <w:rPr>
                <w:sz w:val="20"/>
                <w:szCs w:val="20"/>
                <w:color w:val="auto"/>
              </w:rPr>
            </w:pPr>
            <w:r>
              <w:rPr>
                <w:rFonts w:ascii="Arial" w:cs="Arial" w:eastAsia="Arial" w:hAnsi="Arial"/>
                <w:sz w:val="16"/>
                <w:szCs w:val="16"/>
                <w:color w:val="auto"/>
              </w:rPr>
              <w:t>Other sales and marketing, excluding depreciation, amortization and</w:t>
            </w: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18,928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16,650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54,896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44,270</w:t>
            </w:r>
          </w:p>
        </w:tc>
        <w:tc>
          <w:tcPr>
            <w:tcW w:w="0" w:type="dxa"/>
            <w:vAlign w:val="bottom"/>
          </w:tcPr>
          <w:p>
            <w:pPr>
              <w:spacing w:after="0"/>
              <w:rPr>
                <w:sz w:val="1"/>
                <w:szCs w:val="1"/>
                <w:color w:val="auto"/>
              </w:rPr>
            </w:pPr>
          </w:p>
        </w:tc>
      </w:tr>
      <w:tr>
        <w:trPr>
          <w:trHeight w:val="215"/>
        </w:trPr>
        <w:tc>
          <w:tcPr>
            <w:tcW w:w="548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4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Technology and development, excluding depreciation, amortization and</w:t>
            </w:r>
          </w:p>
        </w:tc>
        <w:tc>
          <w:tcPr>
            <w:tcW w:w="3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10,569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14,511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38,978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44,408</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360"/>
              <w:spacing w:after="0" w:line="162" w:lineRule="exact"/>
              <w:rPr>
                <w:sz w:val="20"/>
                <w:szCs w:val="20"/>
                <w:color w:val="auto"/>
              </w:rPr>
            </w:pPr>
            <w:r>
              <w:rPr>
                <w:rFonts w:ascii="Arial" w:cs="Arial" w:eastAsia="Arial" w:hAnsi="Arial"/>
                <w:sz w:val="16"/>
                <w:szCs w:val="16"/>
                <w:color w:val="auto"/>
              </w:rPr>
              <w:t>General and administrative, excluding depreciation, amortization,</w:t>
            </w: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13,351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12,940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43,079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44,887</w:t>
            </w:r>
          </w:p>
        </w:tc>
        <w:tc>
          <w:tcPr>
            <w:tcW w:w="0" w:type="dxa"/>
            <w:vAlign w:val="bottom"/>
          </w:tcPr>
          <w:p>
            <w:pPr>
              <w:spacing w:after="0"/>
              <w:rPr>
                <w:sz w:val="1"/>
                <w:szCs w:val="1"/>
                <w:color w:val="auto"/>
              </w:rPr>
            </w:pPr>
          </w:p>
        </w:tc>
      </w:tr>
      <w:tr>
        <w:trPr>
          <w:trHeight w:val="215"/>
        </w:trPr>
        <w:tc>
          <w:tcPr>
            <w:tcW w:w="5480" w:type="dxa"/>
            <w:vAlign w:val="bottom"/>
          </w:tcPr>
          <w:p>
            <w:pPr>
              <w:ind w:left="360"/>
              <w:spacing w:after="0"/>
              <w:rPr>
                <w:sz w:val="20"/>
                <w:szCs w:val="20"/>
                <w:color w:val="auto"/>
              </w:rPr>
            </w:pPr>
            <w:r>
              <w:rPr>
                <w:rFonts w:ascii="Arial" w:cs="Arial" w:eastAsia="Arial" w:hAnsi="Arial"/>
                <w:sz w:val="16"/>
                <w:szCs w:val="16"/>
                <w:color w:val="auto"/>
              </w:rPr>
              <w:t>stock-based compensation, and restructuring</w:t>
            </w: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7"/>
        </w:trPr>
        <w:tc>
          <w:tcPr>
            <w:tcW w:w="5500" w:type="dxa"/>
            <w:vAlign w:val="bottom"/>
          </w:tcPr>
          <w:p>
            <w:pPr>
              <w:spacing w:after="0"/>
              <w:rPr>
                <w:sz w:val="18"/>
                <w:szCs w:val="18"/>
                <w:color w:val="auto"/>
              </w:rPr>
            </w:pPr>
          </w:p>
        </w:tc>
        <w:tc>
          <w:tcPr>
            <w:tcW w:w="292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2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55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88,763</w:t>
            </w:r>
          </w:p>
        </w:tc>
      </w:tr>
      <w:tr>
        <w:trPr>
          <w:trHeight w:val="215"/>
        </w:trPr>
        <w:tc>
          <w:tcPr>
            <w:tcW w:w="55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33,283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33,118</w:t>
            </w:r>
          </w:p>
        </w:tc>
      </w:tr>
      <w:tr>
        <w:trPr>
          <w:trHeight w:val="217"/>
        </w:trPr>
        <w:tc>
          <w:tcPr>
            <w:tcW w:w="5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(5,691)</w:t>
            </w:r>
          </w:p>
        </w:tc>
      </w:tr>
      <w:tr>
        <w:trPr>
          <w:trHeight w:val="215"/>
        </w:trPr>
        <w:tc>
          <w:tcPr>
            <w:tcW w:w="550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217"/>
        </w:trPr>
        <w:tc>
          <w:tcPr>
            <w:tcW w:w="550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Restructuring</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r>
      <w:tr>
        <w:trPr>
          <w:trHeight w:val="216"/>
        </w:trPr>
        <w:tc>
          <w:tcPr>
            <w:tcW w:w="5500" w:type="dxa"/>
            <w:vAlign w:val="bottom"/>
          </w:tcPr>
          <w:p>
            <w:pPr>
              <w:ind w:left="360"/>
              <w:spacing w:after="0" w:line="216" w:lineRule="exact"/>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(897)</w:t>
            </w: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9,078</w:t>
            </w:r>
          </w:p>
        </w:tc>
      </w:tr>
      <w:tr>
        <w:trPr>
          <w:trHeight w:val="215"/>
        </w:trPr>
        <w:tc>
          <w:tcPr>
            <w:tcW w:w="5500" w:type="dxa"/>
            <w:vAlign w:val="bottom"/>
          </w:tcPr>
          <w:p>
            <w:pPr>
              <w:ind w:left="360"/>
              <w:spacing w:after="0"/>
              <w:rPr>
                <w:sz w:val="20"/>
                <w:szCs w:val="20"/>
                <w:color w:val="auto"/>
              </w:rPr>
            </w:pPr>
            <w:r>
              <w:rPr>
                <w:rFonts w:ascii="Arial" w:cs="Arial" w:eastAsia="Arial" w:hAnsi="Arial"/>
                <w:sz w:val="16"/>
                <w:szCs w:val="16"/>
                <w:color w:val="auto"/>
              </w:rPr>
              <w:t>Gain on sale of assets held for sale</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(14,337)</w:t>
            </w:r>
          </w:p>
        </w:tc>
      </w:tr>
      <w:tr>
        <w:trPr>
          <w:trHeight w:val="210"/>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net income</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14,348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9,370</w:t>
            </w:r>
          </w:p>
        </w:tc>
      </w:tr>
      <w:tr>
        <w:trPr>
          <w:trHeight w:val="270"/>
        </w:trPr>
        <w:tc>
          <w:tcPr>
            <w:tcW w:w="5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Reconciliation of profit or loss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color w:val="auto"/>
              </w:rPr>
              <w:t>Adjustments and reconciling items</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net income</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00" w:hanging="211"/>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6"/>
          <w:szCs w:val="16"/>
          <w:color w:val="auto"/>
        </w:rPr>
        <w:t>For 2026 and 2025, restructuring costs related to the reduction of our global headcount.</w:t>
      </w:r>
    </w:p>
    <w:p>
      <w:pPr>
        <w:spacing w:after="0" w:line="113" w:lineRule="exact"/>
        <w:rPr>
          <w:rFonts w:ascii="Arial" w:cs="Arial" w:eastAsia="Arial" w:hAnsi="Arial"/>
          <w:sz w:val="14"/>
          <w:szCs w:val="14"/>
          <w:color w:val="auto"/>
        </w:rPr>
      </w:pPr>
    </w:p>
    <w:p>
      <w:pPr>
        <w:ind w:left="80" w:right="80" w:firstLine="9"/>
        <w:spacing w:after="0" w:line="286" w:lineRule="auto"/>
        <w:tabs>
          <w:tab w:leader="none" w:pos="296" w:val="left"/>
        </w:tabs>
        <w:numPr>
          <w:ilvl w:val="0"/>
          <w:numId w:val="5"/>
        </w:numPr>
        <w:rPr>
          <w:rFonts w:ascii="Arial" w:cs="Arial" w:eastAsia="Arial" w:hAnsi="Arial"/>
          <w:sz w:val="14"/>
          <w:szCs w:val="14"/>
          <w:color w:val="auto"/>
        </w:rPr>
      </w:pPr>
      <w:r>
        <w:rPr>
          <w:rFonts w:ascii="Arial" w:cs="Arial" w:eastAsia="Arial" w:hAnsi="Arial"/>
          <w:sz w:val="16"/>
          <w:szCs w:val="16"/>
          <w:color w:val="auto"/>
        </w:rPr>
        <w:t>Other segment items included in segment net income primarily consist of foreign currency gains or losses related to our intercompany loans which were denominated in British Pound Sterling and included in other (expense) income, net on the unaudited condensed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Restructuring</w:t>
      </w:r>
    </w:p>
    <w:p>
      <w:pPr>
        <w:spacing w:after="0" w:line="221"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From time to time, we initiate cost reduction activities to integrate acquired businesses, to align our workforce with strategic business activities, or to improve efficiencies in our operations. Restructuring expenses include severance for the impacted employees and are included in general and administrative expenses in the accompanying unaudited condensed consolidated financial statements.</w:t>
      </w:r>
    </w:p>
    <w:p>
      <w:pPr>
        <w:spacing w:after="0" w:line="56" w:lineRule="exact"/>
        <w:rPr>
          <w:sz w:val="20"/>
          <w:szCs w:val="20"/>
          <w:color w:val="auto"/>
        </w:rPr>
      </w:pPr>
    </w:p>
    <w:p>
      <w:pPr>
        <w:ind w:right="20" w:firstLine="405"/>
        <w:spacing w:after="0" w:line="262" w:lineRule="auto"/>
        <w:rPr>
          <w:sz w:val="20"/>
          <w:szCs w:val="20"/>
          <w:color w:val="auto"/>
        </w:rPr>
      </w:pPr>
      <w:r>
        <w:rPr>
          <w:rFonts w:ascii="Arial" w:cs="Arial" w:eastAsia="Arial" w:hAnsi="Arial"/>
          <w:sz w:val="16"/>
          <w:szCs w:val="16"/>
          <w:color w:val="auto"/>
        </w:rPr>
        <w:t>In August 2026, we committed to a restructuring plan to reduce the size of our workforce by approximately 13%. This restructuring plan was initiated as part of our ongoing organizational evolution toward becoming a more agile, AI-native company with a simpler operating structure. During the three months ended September 30, 2026, we recognized $6.0 million of restructuring charges and related costs associated with the aforementioned plan, consisting primarily of severance and termination benefits for impacted employees, in general and administrative expenses on the unaudited condensed consolidated statements of operations. Substantially all charges associated with the restructuring plan were incurred during the third quarter of 2026. As of September 30, 2026, approximately $1.4 million of restructuring charges associated with the aforementioned plan were accrued in accrued expenses on the unaudited condensed consolidated balance sheets. We expect substantially all of the remaining amounts to be paid in the fourth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23"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2025 Annual Report on Form 10-K filed with the Securities and Exchange Commission (the “SEC”) on February 23, 2026 and our other filings with the SEC. The following discussion contains forward-looking statements based upon current plans, expectations and beliefs and that involve risks and uncertainties. Our actual results may differ materially from those anticipated in these forward-looking statements as a result of various factors, including those set forth in the "Risk Factors" section of this Quarterly Report on Form 10-Q. See “Forward-Looking Statements” preceding Part I of this Quarterly Report on Form 10-Q.</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ind w:right="100" w:firstLine="405"/>
        <w:spacing w:after="0" w:line="261" w:lineRule="auto"/>
        <w:rPr>
          <w:sz w:val="20"/>
          <w:szCs w:val="20"/>
          <w:color w:val="auto"/>
        </w:rPr>
      </w:pPr>
      <w:r>
        <w:rPr>
          <w:rFonts w:ascii="Arial" w:cs="Arial" w:eastAsia="Arial" w:hAnsi="Arial"/>
          <w:sz w:val="16"/>
          <w:szCs w:val="16"/>
          <w:color w:val="auto"/>
        </w:rPr>
        <w:t>LegalZoom is a leading online platform for legal services, transforming how individuals and small businesses navigate the legal system. By combining intuitive technology with access to experienced attorneys—whether through our vast independent attorney network or our own law firm—we offer the tools and guidance people need to confidently manage everything from business formation and compliance to intellectual property protection and ongoing business management and legal support. Our ongoing business management services include virtual mail, legal forms, bookkeeping and estate planning services, among others. We operate across all 50 states and in over 3,000 counties in the U.S. With over two decades of experience and millions of customers served, LegalZoom helps individuals and small businesses navigate legal needs with confidence.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27" w:lineRule="exact"/>
        <w:rPr>
          <w:sz w:val="20"/>
          <w:szCs w:val="20"/>
          <w:color w:val="auto"/>
        </w:rPr>
      </w:pPr>
    </w:p>
    <w:p>
      <w:pPr>
        <w:ind w:left="740" w:right="120" w:hanging="317"/>
        <w:spacing w:after="0" w:line="259" w:lineRule="auto"/>
        <w:tabs>
          <w:tab w:leader="none" w:pos="71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September 2026, we entered into an amended partnership agreement (the “Amended Agreement”) with Accounting Fulfillment Services, LLC (“1-800Accountant”), which supersedes the original agreement dated December 15, 2024 (the “Original Agreement”), pursuant to which 1-800Accountant agreed to certain minimum revenue commitments to us across the term of the Original Agreement in exchange for us agreeing to certain obligations to market 1-800Accountant services to our customers, including agreeing to refer a minimum number of our customers to 1-800Accountant. The Amended Agreement extends the initial term through December 31, 2030, after which the Amended Agreement will automatically renew for successive annual terms unless either we or 1-800Accountant provides written notice of non-renewal pursuant to the terms of the Amended Agreement.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believe that our future performance will depend on many factors, including the following:</w:t>
      </w:r>
    </w:p>
    <w:p>
      <w:pPr>
        <w:spacing w:after="0" w:line="113" w:lineRule="exact"/>
        <w:rPr>
          <w:sz w:val="20"/>
          <w:szCs w:val="20"/>
          <w:color w:val="auto"/>
        </w:rPr>
      </w:pPr>
    </w:p>
    <w:p>
      <w:pPr>
        <w:ind w:left="740" w:right="80" w:hanging="317"/>
        <w:spacing w:after="0" w:line="256" w:lineRule="auto"/>
        <w:tabs>
          <w:tab w:leader="none" w:pos="71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Our share of small and medium-sized businesses (SMBs)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formations act as an entrance point for many customers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LegalZoom ecosystem, where they then often purchase a mix of transaction and subscription offerings alongside and after the initial formation transaction. However, changes that Google is making, including changes in search algorithms and the prioritization of AI-generated summaries within the search experience, as well as the ways in which Google chooses to enforce its policy regarding the advertisement of federal filings, are reshaping how potential customers find and engage with LegalZoom. We have seen these changes result in a reduction in organic traffic and a higher emphasis on paid search, and we expect these customer acquisition dynamics to continue to evolve. In response, we are continuing to optimize our go-to-market and customer acquisition strategy, including by diversifying our marketing investments across media channels and increasing our level of brand marketing, which has resulted and may continue to result in an increase in our marketing costs. We are also expanding beyond traditional search through strategic partnerships and collaborations, including with AI platforms and other emerging channels. Over time, we expect partnership-driven and AI-platform channels to represent a greater share of customer acquisition, and we are investing accordingly. As a result, our operating results depend on the continuation of new business formations in the U.S. and even more so, on our ability to attract new and existing businesses to our platform via various acquisition channels.</w:t>
      </w:r>
    </w:p>
    <w:p>
      <w:pPr>
        <w:spacing w:after="0" w:line="88" w:lineRule="exact"/>
        <w:rPr>
          <w:rFonts w:ascii="Arial" w:cs="Arial" w:eastAsia="Arial" w:hAnsi="Arial"/>
          <w:sz w:val="16"/>
          <w:szCs w:val="16"/>
          <w:color w:val="auto"/>
        </w:rPr>
      </w:pPr>
    </w:p>
    <w:p>
      <w:pPr>
        <w:ind w:left="740" w:right="80" w:hanging="317"/>
        <w:spacing w:after="0" w:line="265" w:lineRule="auto"/>
        <w:tabs>
          <w:tab w:leader="none" w:pos="71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Ability to enhance customer lifetime value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future performance depends on our ability to integrate new products and services into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LegalZoom ecosystem and to increase recurring revenue through subscription offerings. We are continuing to optimize our subscription business, including by testing various commercialization and pricing strategies for our offerings and introducing new, higher value, full-service do-it-for-me (“DIFM”) subscription offerings, including our business manager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24" w:name="page25"/>
    <w:bookmarkEnd w:id="24"/>
    <w:p>
      <w:pPr>
        <w:ind w:left="740" w:right="240"/>
        <w:spacing w:after="0" w:line="286" w:lineRule="auto"/>
        <w:rPr>
          <w:sz w:val="20"/>
          <w:szCs w:val="20"/>
          <w:color w:val="auto"/>
        </w:rPr>
      </w:pPr>
      <w:r>
        <w:rPr>
          <w:rFonts w:ascii="Arial" w:cs="Arial" w:eastAsia="Arial" w:hAnsi="Arial"/>
          <w:sz w:val="16"/>
          <w:szCs w:val="16"/>
          <w:color w:val="auto"/>
        </w:rPr>
        <w:t>(formerly concierge) suite of offerings. As a result, we have experienced and we expect to continue to experience increased volatility across our key business metrics.</w:t>
      </w:r>
    </w:p>
    <w:p>
      <w:pPr>
        <w:spacing w:after="0" w:line="61" w:lineRule="exact"/>
        <w:rPr>
          <w:sz w:val="20"/>
          <w:szCs w:val="20"/>
          <w:color w:val="auto"/>
        </w:rPr>
      </w:pPr>
    </w:p>
    <w:p>
      <w:pPr>
        <w:ind w:left="740" w:right="40" w:hanging="317"/>
        <w:spacing w:after="0" w:line="260" w:lineRule="auto"/>
        <w:tabs>
          <w:tab w:leader="none" w:pos="71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Ability to integrate augmented legal expertise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the future of legal and small business services involves a combination of scaling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AI while strategically integrating our human-in-the-loop offerings to provide the judgment and trust that customers need. These offerings have two layers: experts (which includes our business managers and our independent network of attorneys) and service (which includes our virtual mail and registered agent providers). The extent to which we are able to combine AI with our human expertise in order to increase the consumption of our higher-value offerings will impact our future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221"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In addition to the measures presented in our unaudited condensed consolidated financial statements, we regularly monitor the financial and operating metrics below to evaluate the growth of our business, measure the effectiveness of our marketing efforts, identify trends, formulate financial forecasts and make strategic decisions. Except with respect to annual small business retention rate, Formation Nation, Inc. (“Formation Nation”) has been included in the key business metrics below starting on February 10, 2025, the date we acquired Formation Nation.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business formations</w:t>
      </w:r>
    </w:p>
    <w:p>
      <w:pPr>
        <w:spacing w:after="0" w:line="219"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We define the number of business formations in a given period as the number of limited liability company (“LLC”), incorporation, not-for-profit and doing business as (“DBA”) orders placed on our platform in such period. We consider the number of business formations to be an important metric considering that it is typically the first product or service small business customers purchase on our platform, creating the foundation for additional products and subsequent subscription revenue as customers adopt additional products and services throughout the lifecycle of their business.</w:t>
      </w:r>
    </w:p>
    <w:p>
      <w:pPr>
        <w:spacing w:after="0" w:line="78" w:lineRule="exact"/>
        <w:rPr>
          <w:sz w:val="20"/>
          <w:szCs w:val="20"/>
          <w:color w:val="auto"/>
        </w:rPr>
      </w:pPr>
    </w:p>
    <w:p>
      <w:pPr>
        <w:ind w:right="220" w:firstLine="405"/>
        <w:spacing w:after="0" w:line="266" w:lineRule="auto"/>
        <w:rPr>
          <w:sz w:val="20"/>
          <w:szCs w:val="20"/>
          <w:color w:val="auto"/>
        </w:rPr>
      </w:pPr>
      <w:r>
        <w:rPr>
          <w:rFonts w:ascii="Arial" w:cs="Arial" w:eastAsia="Arial" w:hAnsi="Arial"/>
          <w:sz w:val="16"/>
          <w:szCs w:val="16"/>
          <w:color w:val="auto"/>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table sets forth the number of business formations for the three and nine months ended September 30, 2026 and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90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80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6"/>
        </w:trPr>
        <w:tc>
          <w:tcPr>
            <w:tcW w:w="554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12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0"/>
        </w:trPr>
        <w:tc>
          <w:tcPr>
            <w:tcW w:w="5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8"/>
        </w:trPr>
        <w:tc>
          <w:tcPr>
            <w:tcW w:w="5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80" w:type="dxa"/>
            <w:vAlign w:val="bottom"/>
            <w:gridSpan w:val="3"/>
          </w:tcPr>
          <w:p>
            <w:pPr>
              <w:jc w:val="right"/>
              <w:ind w:right="1059"/>
              <w:spacing w:after="0"/>
              <w:rPr>
                <w:sz w:val="20"/>
                <w:szCs w:val="20"/>
                <w:color w:val="auto"/>
              </w:rPr>
            </w:pPr>
            <w:r>
              <w:rPr>
                <w:rFonts w:ascii="Arial" w:cs="Arial" w:eastAsia="Arial" w:hAnsi="Arial"/>
                <w:sz w:val="16"/>
                <w:szCs w:val="16"/>
                <w:i w:val="1"/>
                <w:iCs w:val="1"/>
                <w:color w:val="auto"/>
              </w:rPr>
              <w:t>(in thousands)</w:t>
            </w:r>
          </w:p>
        </w:tc>
        <w:tc>
          <w:tcPr>
            <w:tcW w:w="1200" w:type="dxa"/>
            <w:vAlign w:val="bottom"/>
          </w:tcPr>
          <w:p>
            <w:pPr>
              <w:spacing w:after="0"/>
              <w:rPr>
                <w:sz w:val="18"/>
                <w:szCs w:val="18"/>
                <w:color w:val="auto"/>
              </w:rPr>
            </w:pPr>
          </w:p>
        </w:tc>
      </w:tr>
      <w:tr>
        <w:trPr>
          <w:trHeight w:val="29"/>
        </w:trPr>
        <w:tc>
          <w:tcPr>
            <w:tcW w:w="5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480" w:type="dxa"/>
            <w:vAlign w:val="bottom"/>
            <w:gridSpan w:val="2"/>
            <w:shd w:val="clear" w:color="auto" w:fill="CCEEFF"/>
          </w:tcPr>
          <w:p>
            <w:pPr>
              <w:jc w:val="right"/>
              <w:ind w:right="4139"/>
              <w:spacing w:after="0"/>
              <w:rPr>
                <w:sz w:val="20"/>
                <w:szCs w:val="20"/>
                <w:color w:val="auto"/>
              </w:rPr>
            </w:pPr>
            <w:r>
              <w:rPr>
                <w:rFonts w:ascii="Arial" w:cs="Arial" w:eastAsia="Arial" w:hAnsi="Arial"/>
                <w:sz w:val="16"/>
                <w:szCs w:val="16"/>
                <w:color w:val="auto"/>
              </w:rPr>
              <w:t>Number of business formations</w:t>
            </w:r>
          </w:p>
        </w:tc>
        <w:tc>
          <w:tcPr>
            <w:tcW w:w="6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110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r>
    </w:tbl>
    <w:p>
      <w:pPr>
        <w:spacing w:after="0" w:line="296"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During the three and nine months ended September 30, 2026, we experienced a 13% and 3% decrease, respectively, in business formation</w:t>
      </w:r>
    </w:p>
    <w:p>
      <w:pPr>
        <w:spacing w:after="0" w:line="21" w:lineRule="exact"/>
        <w:rPr>
          <w:sz w:val="20"/>
          <w:szCs w:val="20"/>
          <w:color w:val="auto"/>
        </w:rPr>
      </w:pPr>
    </w:p>
    <w:p>
      <w:pPr>
        <w:ind w:right="400"/>
        <w:spacing w:after="0" w:line="283" w:lineRule="auto"/>
        <w:rPr>
          <w:sz w:val="20"/>
          <w:szCs w:val="20"/>
          <w:color w:val="auto"/>
        </w:rPr>
      </w:pPr>
      <w:r>
        <w:rPr>
          <w:rFonts w:ascii="Arial" w:cs="Arial" w:eastAsia="Arial" w:hAnsi="Arial"/>
          <w:sz w:val="16"/>
          <w:szCs w:val="16"/>
          <w:color w:val="auto"/>
        </w:rPr>
        <w:t>transactions compared to the three and nine months ended September 30, 2025 primarily due to the impact of changing customer acquisition dynamics partially offset by an increase in business formations driven by strategic partnerships.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transactions</w:t>
      </w:r>
    </w:p>
    <w:p>
      <w:pPr>
        <w:spacing w:after="0" w:line="219" w:lineRule="exact"/>
        <w:rPr>
          <w:sz w:val="20"/>
          <w:szCs w:val="20"/>
          <w:color w:val="auto"/>
        </w:rPr>
      </w:pPr>
    </w:p>
    <w:p>
      <w:pPr>
        <w:ind w:right="160" w:firstLine="405"/>
        <w:spacing w:after="0" w:line="265" w:lineRule="auto"/>
        <w:rPr>
          <w:sz w:val="20"/>
          <w:szCs w:val="20"/>
          <w:color w:val="auto"/>
        </w:rPr>
      </w:pPr>
      <w:r>
        <w:rPr>
          <w:rFonts w:ascii="Arial" w:cs="Arial" w:eastAsia="Arial" w:hAnsi="Arial"/>
          <w:sz w:val="16"/>
          <w:szCs w:val="16"/>
          <w:color w:val="auto"/>
        </w:rPr>
        <w:t>We define the number of transactions in a given period as gross transaction order volume, prior to refunds, on our platform during such period.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5" w:name="page26"/>
    <w:bookmarkEnd w:id="25"/>
    <w:p>
      <w:pPr>
        <w:ind w:right="200"/>
        <w:spacing w:after="0" w:line="286" w:lineRule="auto"/>
        <w:rPr>
          <w:sz w:val="20"/>
          <w:szCs w:val="20"/>
          <w:color w:val="auto"/>
        </w:rPr>
      </w:pPr>
      <w:r>
        <w:rPr>
          <w:rFonts w:ascii="Arial" w:cs="Arial" w:eastAsia="Arial" w:hAnsi="Arial"/>
          <w:sz w:val="16"/>
          <w:szCs w:val="16"/>
          <w:color w:val="auto"/>
        </w:rPr>
        <w:t>considering that our customers generally begin their LegalZoom journey with a transaction, creating the foundation for generating subsequent subscription revenue.</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table sets forth the number of transactions for the three and nine months ended September 30, 2026 and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90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80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6"/>
        </w:trPr>
        <w:tc>
          <w:tcPr>
            <w:tcW w:w="554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12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0"/>
        </w:trPr>
        <w:tc>
          <w:tcPr>
            <w:tcW w:w="5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7"/>
        </w:trPr>
        <w:tc>
          <w:tcPr>
            <w:tcW w:w="5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80" w:type="dxa"/>
            <w:vAlign w:val="bottom"/>
            <w:gridSpan w:val="3"/>
          </w:tcPr>
          <w:p>
            <w:pPr>
              <w:jc w:val="right"/>
              <w:ind w:right="1059"/>
              <w:spacing w:after="0"/>
              <w:rPr>
                <w:sz w:val="20"/>
                <w:szCs w:val="20"/>
                <w:color w:val="auto"/>
              </w:rPr>
            </w:pPr>
            <w:r>
              <w:rPr>
                <w:rFonts w:ascii="Arial" w:cs="Arial" w:eastAsia="Arial" w:hAnsi="Arial"/>
                <w:sz w:val="16"/>
                <w:szCs w:val="16"/>
                <w:i w:val="1"/>
                <w:iCs w:val="1"/>
                <w:color w:val="auto"/>
              </w:rPr>
              <w:t>(in thousands)</w:t>
            </w:r>
          </w:p>
        </w:tc>
        <w:tc>
          <w:tcPr>
            <w:tcW w:w="1200" w:type="dxa"/>
            <w:vAlign w:val="bottom"/>
          </w:tcPr>
          <w:p>
            <w:pPr>
              <w:spacing w:after="0"/>
              <w:rPr>
                <w:sz w:val="18"/>
                <w:szCs w:val="18"/>
                <w:color w:val="auto"/>
              </w:rPr>
            </w:pPr>
          </w:p>
        </w:tc>
      </w:tr>
      <w:tr>
        <w:trPr>
          <w:trHeight w:val="29"/>
        </w:trPr>
        <w:tc>
          <w:tcPr>
            <w:tcW w:w="5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480" w:type="dxa"/>
            <w:vAlign w:val="bottom"/>
            <w:gridSpan w:val="2"/>
            <w:shd w:val="clear" w:color="auto" w:fill="CCEEFF"/>
          </w:tcPr>
          <w:p>
            <w:pPr>
              <w:jc w:val="right"/>
              <w:ind w:right="4679"/>
              <w:spacing w:after="0"/>
              <w:rPr>
                <w:sz w:val="20"/>
                <w:szCs w:val="20"/>
                <w:color w:val="auto"/>
              </w:rPr>
            </w:pPr>
            <w:r>
              <w:rPr>
                <w:rFonts w:ascii="Arial" w:cs="Arial" w:eastAsia="Arial" w:hAnsi="Arial"/>
                <w:sz w:val="16"/>
                <w:szCs w:val="16"/>
                <w:color w:val="auto"/>
              </w:rPr>
              <w:t>Number of transactions</w:t>
            </w:r>
          </w:p>
        </w:tc>
        <w:tc>
          <w:tcPr>
            <w:tcW w:w="6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249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905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r>
    </w:tbl>
    <w:p>
      <w:pPr>
        <w:spacing w:after="0" w:line="296" w:lineRule="exact"/>
        <w:rPr>
          <w:sz w:val="20"/>
          <w:szCs w:val="20"/>
          <w:color w:val="auto"/>
        </w:rPr>
      </w:pPr>
    </w:p>
    <w:p>
      <w:pPr>
        <w:ind w:right="320" w:firstLine="405"/>
        <w:spacing w:after="0" w:line="275" w:lineRule="auto"/>
        <w:rPr>
          <w:sz w:val="20"/>
          <w:szCs w:val="20"/>
          <w:color w:val="auto"/>
        </w:rPr>
      </w:pPr>
      <w:r>
        <w:rPr>
          <w:rFonts w:ascii="Arial" w:cs="Arial" w:eastAsia="Arial" w:hAnsi="Arial"/>
          <w:sz w:val="16"/>
          <w:szCs w:val="16"/>
          <w:color w:val="auto"/>
        </w:rPr>
        <w:t>We experienced a 4% decrease in the number of transactions during the three months ended September 30, 2026 compared to the three months ended September 30, 2025, primarily due to a decrease in business formations and related small business transactions, partially offset by an increase in Annual Report filings within our compliance offerings as a result of filing automation.</w:t>
      </w:r>
    </w:p>
    <w:p>
      <w:pPr>
        <w:spacing w:after="0" w:line="56"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We experienced a 3% increase in the number of transactions during the nine months ended September 30, 2026 compared to the nine months ended September 30, 2025 primarily due to an increase in Annual Report filings within our compliance offerings as a result of filing automation, partially offset by a decrease in beneficial ownership information report filings following a Financial Crimes Enforcement Network (“FinCEN”) ruling on March 21, 2025 that eliminated this filing requirement for U.S. companies.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order value</w:t>
      </w:r>
    </w:p>
    <w:p>
      <w:pPr>
        <w:spacing w:after="0" w:line="219" w:lineRule="exact"/>
        <w:rPr>
          <w:sz w:val="20"/>
          <w:szCs w:val="20"/>
          <w:color w:val="auto"/>
        </w:rPr>
      </w:pPr>
    </w:p>
    <w:p>
      <w:pPr>
        <w:ind w:right="420" w:firstLine="405"/>
        <w:spacing w:after="0" w:line="286" w:lineRule="auto"/>
        <w:rPr>
          <w:sz w:val="20"/>
          <w:szCs w:val="20"/>
          <w:color w:val="auto"/>
        </w:rPr>
      </w:pPr>
      <w:r>
        <w:rPr>
          <w:rFonts w:ascii="Arial" w:cs="Arial" w:eastAsia="Arial" w:hAnsi="Arial"/>
          <w:sz w:val="16"/>
          <w:szCs w:val="16"/>
          <w:color w:val="auto"/>
        </w:rPr>
        <w:t>We define average order value for a given period as total transaction revenue divided by total number of transactions in such period. We consider average order value to be an important metric given that it indicates how much customers are spending on average on our platform per transaction.</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table sets forth the average order value for the three and nine months ended September 30, 2026 and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00" w:type="dxa"/>
            <w:vAlign w:val="bottom"/>
          </w:tcPr>
          <w:p>
            <w:pPr>
              <w:spacing w:after="0"/>
              <w:rPr>
                <w:sz w:val="18"/>
                <w:szCs w:val="18"/>
                <w:color w:val="auto"/>
              </w:rPr>
            </w:pPr>
          </w:p>
        </w:tc>
        <w:tc>
          <w:tcPr>
            <w:tcW w:w="292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2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16"/>
        </w:trPr>
        <w:tc>
          <w:tcPr>
            <w:tcW w:w="55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order value</w:t>
            </w: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8"/>
        </w:trPr>
        <w:tc>
          <w:tcPr>
            <w:tcW w:w="55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160" w:firstLine="405"/>
        <w:spacing w:after="0" w:line="286" w:lineRule="auto"/>
        <w:rPr>
          <w:sz w:val="20"/>
          <w:szCs w:val="20"/>
          <w:color w:val="auto"/>
        </w:rPr>
      </w:pPr>
      <w:r>
        <w:rPr>
          <w:rFonts w:ascii="Arial" w:cs="Arial" w:eastAsia="Arial" w:hAnsi="Arial"/>
          <w:sz w:val="16"/>
          <w:szCs w:val="16"/>
          <w:color w:val="auto"/>
        </w:rPr>
        <w:t>Average order value decreased 12% and 3%, respectively, for the three and nine months ended September 30, 2026 compared to the three and nine months ended September 30, 2025 primarily due to a decrease in the volume of business formations and related small business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subscription units</w:t>
      </w:r>
    </w:p>
    <w:p>
      <w:pPr>
        <w:spacing w:after="0" w:line="219" w:lineRule="exact"/>
        <w:rPr>
          <w:sz w:val="20"/>
          <w:szCs w:val="20"/>
          <w:color w:val="auto"/>
        </w:rPr>
      </w:pPr>
    </w:p>
    <w:p>
      <w:pPr>
        <w:ind w:right="60" w:firstLine="405"/>
        <w:spacing w:after="0" w:line="275" w:lineRule="auto"/>
        <w:rPr>
          <w:sz w:val="20"/>
          <w:szCs w:val="20"/>
          <w:color w:val="auto"/>
        </w:rPr>
      </w:pPr>
      <w:r>
        <w:rPr>
          <w:rFonts w:ascii="Arial" w:cs="Arial" w:eastAsia="Arial" w:hAnsi="Arial"/>
          <w:sz w:val="16"/>
          <w:szCs w:val="16"/>
          <w:color w:val="auto"/>
        </w:rPr>
        <w:t>We define the number of subscription units in a given period as the number of paid subscriptions at the end of such period, including those that are not yet 60 days past their subscription order dates. Refunds, or partial refunds, may be issued under certain circumstances pursuant to the terms of our customer satisfaction guarantee.</w:t>
      </w:r>
    </w:p>
    <w:p>
      <w:pPr>
        <w:spacing w:after="0" w:line="56" w:lineRule="exact"/>
        <w:rPr>
          <w:sz w:val="20"/>
          <w:szCs w:val="20"/>
          <w:color w:val="auto"/>
        </w:rPr>
      </w:pPr>
    </w:p>
    <w:p>
      <w:pPr>
        <w:ind w:right="340" w:firstLine="405"/>
        <w:spacing w:after="0" w:line="265" w:lineRule="auto"/>
        <w:rPr>
          <w:sz w:val="20"/>
          <w:szCs w:val="20"/>
          <w:color w:val="auto"/>
        </w:rPr>
      </w:pPr>
      <w:r>
        <w:rPr>
          <w:rFonts w:ascii="Arial" w:cs="Arial" w:eastAsia="Arial" w:hAnsi="Arial"/>
          <w:sz w:val="16"/>
          <w:szCs w:val="16"/>
          <w:color w:val="auto"/>
        </w:rPr>
        <w:t>We consider the number of subscription units to be an important metric since subscriptions enable us to increase the lifetime value of a customer through deeper, longer-term relationships. In addition, as we continue to innovate our product line-up, including by testing various commercialization and pricing strategies, we believe the number of subscription units, when viewed together with the number of business formations during a particular period, provides insight into the effectiveness of our efforts to drive growth in our subscription business.</w:t>
      </w:r>
    </w:p>
    <w:p>
      <w:pPr>
        <w:spacing w:after="0" w:line="78" w:lineRule="exact"/>
        <w:rPr>
          <w:sz w:val="20"/>
          <w:szCs w:val="20"/>
          <w:color w:val="auto"/>
        </w:rPr>
      </w:pPr>
    </w:p>
    <w:p>
      <w:pPr>
        <w:ind w:right="360" w:firstLine="405"/>
        <w:spacing w:after="0" w:line="286" w:lineRule="auto"/>
        <w:rPr>
          <w:sz w:val="20"/>
          <w:szCs w:val="20"/>
          <w:color w:val="auto"/>
        </w:rPr>
      </w:pPr>
      <w:r>
        <w:rPr>
          <w:rFonts w:ascii="Arial" w:cs="Arial" w:eastAsia="Arial" w:hAnsi="Arial"/>
          <w:sz w:val="16"/>
          <w:szCs w:val="16"/>
          <w:color w:val="auto"/>
        </w:rPr>
        <w:t>Subscriptions typically range from 30 days to one year in duration and the vast majority of our new subscriptions originate from business formation orders and have an annual term. Our customers can have multiple subscriptions at the end of a period.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6" w:name="page27"/>
    <w:bookmarkEnd w:id="26"/>
    <w:p>
      <w:pPr>
        <w:ind w:left="420"/>
        <w:spacing w:after="0"/>
        <w:rPr>
          <w:sz w:val="20"/>
          <w:szCs w:val="20"/>
          <w:color w:val="auto"/>
        </w:rPr>
      </w:pPr>
      <w:r>
        <w:rPr>
          <w:rFonts w:ascii="Arial" w:cs="Arial" w:eastAsia="Arial" w:hAnsi="Arial"/>
          <w:sz w:val="16"/>
          <w:szCs w:val="16"/>
          <w:color w:val="auto"/>
        </w:rPr>
        <w:t>The below table sets forth the number of subscription units as of September 30, 2026 and 2025:</w:t>
      </w:r>
    </w:p>
    <w:p>
      <w:pPr>
        <w:spacing w:after="0" w:line="262"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As of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0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14"/>
        </w:trPr>
        <w:tc>
          <w:tcPr>
            <w:tcW w:w="8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8"/>
                <w:szCs w:val="18"/>
                <w:color w:val="auto"/>
              </w:rPr>
            </w:pPr>
          </w:p>
        </w:tc>
      </w:tr>
      <w:tr>
        <w:trPr>
          <w:trHeight w:val="29"/>
        </w:trPr>
        <w:tc>
          <w:tcPr>
            <w:tcW w:w="8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9300" w:type="dxa"/>
            <w:vAlign w:val="bottom"/>
            <w:gridSpan w:val="2"/>
            <w:shd w:val="clear" w:color="auto" w:fill="CCEEFF"/>
          </w:tcPr>
          <w:p>
            <w:pPr>
              <w:jc w:val="right"/>
              <w:ind w:right="7139"/>
              <w:spacing w:after="0"/>
              <w:rPr>
                <w:sz w:val="20"/>
                <w:szCs w:val="20"/>
                <w:color w:val="auto"/>
              </w:rPr>
            </w:pPr>
            <w:r>
              <w:rPr>
                <w:rFonts w:ascii="Arial" w:cs="Arial" w:eastAsia="Arial" w:hAnsi="Arial"/>
                <w:sz w:val="16"/>
                <w:szCs w:val="16"/>
                <w:color w:val="auto"/>
              </w:rPr>
              <w:t>Number of subscription units</w:t>
            </w:r>
          </w:p>
        </w:tc>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1,854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r>
    </w:tbl>
    <w:p>
      <w:pPr>
        <w:spacing w:after="0" w:line="296" w:lineRule="exact"/>
        <w:rPr>
          <w:sz w:val="20"/>
          <w:szCs w:val="20"/>
          <w:color w:val="auto"/>
        </w:rPr>
      </w:pPr>
    </w:p>
    <w:p>
      <w:pPr>
        <w:ind w:right="300" w:firstLine="405"/>
        <w:spacing w:after="0" w:line="265" w:lineRule="auto"/>
        <w:rPr>
          <w:sz w:val="20"/>
          <w:szCs w:val="20"/>
          <w:color w:val="auto"/>
        </w:rPr>
      </w:pPr>
      <w:r>
        <w:rPr>
          <w:rFonts w:ascii="Arial" w:cs="Arial" w:eastAsia="Arial" w:hAnsi="Arial"/>
          <w:sz w:val="16"/>
          <w:szCs w:val="16"/>
          <w:color w:val="auto"/>
        </w:rPr>
        <w:t>We experienced a 5% decrease in subscription units from September 30, 2025 to September 30, 2026 due to a decrease in accounting solution subscriptions, as well as lower forms and eSignature and registered agent subscriptions, partially offset by an increase in legal advisory subscriptions, as well as increases in compliance subscriptions and virtual mail subscriptions. The decrease in accounting solution subscriptions and the increase in legal advisory subscriptions were both due to changes in our business formation bundles as we continue to test various commercialization strategies for our offerings.</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a sequential basis, the number of subscription units decreased 2% as of September 30, 2026 compared to June 30, 2026.</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revenue per subscription unit</w:t>
      </w:r>
    </w:p>
    <w:p>
      <w:pPr>
        <w:spacing w:after="0" w:line="233" w:lineRule="exact"/>
        <w:rPr>
          <w:sz w:val="20"/>
          <w:szCs w:val="20"/>
          <w:color w:val="auto"/>
        </w:rPr>
      </w:pPr>
    </w:p>
    <w:p>
      <w:pPr>
        <w:jc w:val="both"/>
        <w:ind w:right="60" w:firstLine="405"/>
        <w:spacing w:after="0" w:line="266" w:lineRule="auto"/>
        <w:rPr>
          <w:sz w:val="20"/>
          <w:szCs w:val="20"/>
          <w:color w:val="auto"/>
        </w:rPr>
      </w:pPr>
      <w:r>
        <w:rPr>
          <w:rFonts w:ascii="Arial" w:cs="Arial" w:eastAsia="Arial" w:hAnsi="Arial"/>
          <w:sz w:val="16"/>
          <w:szCs w:val="16"/>
          <w:color w:val="auto"/>
        </w:rPr>
        <w:t>We define average revenue per subscription unit (“ARPU”) as of a given date as subscription revenue for the twelve-month period ended on such date (“LTM”) divided by the average of the number of subscription units at the beginning and end of the LTM period. We consider ARPU to be an important metric because it helps to illustrate our ability to provide and monetize higher value subscriptions. In addition, when viewed together with subscription units, ARPU provides insight into the impact that higher-value subscriptions have on our ability to grow our subscription units</w:t>
      </w:r>
      <w:r>
        <w:rPr>
          <w:rFonts w:ascii="Arial" w:cs="Arial" w:eastAsia="Arial" w:hAnsi="Arial"/>
          <w:sz w:val="19"/>
          <w:szCs w:val="19"/>
          <w:color w:val="auto"/>
        </w:rPr>
        <w:t>.</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table sets forth ARPU as of September 30, 2026 and 2025:</w:t>
      </w:r>
    </w:p>
    <w:p>
      <w:pPr>
        <w:spacing w:after="0" w:line="262"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20955</wp:posOffset>
            </wp:positionV>
            <wp:extent cx="18084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6" w:lineRule="exact"/>
        <w:rPr>
          <w:sz w:val="20"/>
          <w:szCs w:val="20"/>
          <w:color w:val="auto"/>
        </w:rPr>
      </w:pPr>
    </w:p>
    <w:p>
      <w:pPr>
        <w:ind w:left="8900"/>
        <w:spacing w:after="0"/>
        <w:tabs>
          <w:tab w:leader="none" w:pos="10360" w:val="left"/>
        </w:tabs>
        <w:rPr>
          <w:sz w:val="20"/>
          <w:szCs w:val="20"/>
          <w:color w:val="auto"/>
        </w:rPr>
      </w:pPr>
      <w:r>
        <w:rPr>
          <w:rFonts w:ascii="Arial" w:cs="Arial" w:eastAsia="Arial" w:hAnsi="Arial"/>
          <w:sz w:val="16"/>
          <w:szCs w:val="16"/>
          <w:b w:val="1"/>
          <w:bCs w:val="1"/>
          <w:color w:val="auto"/>
        </w:rPr>
        <w:t>2026</w:t>
      </w:r>
      <w:r>
        <w:rPr>
          <w:sz w:val="20"/>
          <w:szCs w:val="20"/>
          <w:color w:val="auto"/>
        </w:rPr>
        <w:tab/>
      </w: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tabs>
          <w:tab w:leader="none" w:pos="8380" w:val="left"/>
          <w:tab w:leader="none" w:pos="9400" w:val="left"/>
          <w:tab w:leader="none" w:pos="9860" w:val="left"/>
          <w:tab w:leader="none" w:pos="10880" w:val="left"/>
        </w:tabs>
        <w:rPr>
          <w:sz w:val="20"/>
          <w:szCs w:val="20"/>
          <w:color w:val="auto"/>
        </w:rPr>
      </w:pPr>
      <w:r>
        <w:rPr>
          <w:rFonts w:ascii="Arial" w:cs="Arial" w:eastAsia="Arial" w:hAnsi="Arial"/>
          <w:sz w:val="16"/>
          <w:szCs w:val="16"/>
          <w:color w:val="auto"/>
        </w:rPr>
        <w:t>Average revenue per subscription unit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280</w:t>
        <w:tab/>
        <w:t>$</w:t>
      </w:r>
      <w:r>
        <w:rPr>
          <w:sz w:val="20"/>
          <w:szCs w:val="20"/>
          <w:color w:val="auto"/>
        </w:rPr>
        <w:tab/>
      </w:r>
      <w:r>
        <w:rPr>
          <w:rFonts w:ascii="Arial" w:cs="Arial" w:eastAsia="Arial" w:hAnsi="Arial"/>
          <w:sz w:val="15"/>
          <w:szCs w:val="15"/>
          <w:color w:val="auto"/>
        </w:rPr>
        <w:t>256</w:t>
      </w:r>
    </w:p>
    <w:p>
      <w:pPr>
        <w:spacing w:after="0" w:line="356" w:lineRule="exact"/>
        <w:rPr>
          <w:sz w:val="20"/>
          <w:szCs w:val="20"/>
          <w:color w:val="auto"/>
        </w:rPr>
      </w:pPr>
    </w:p>
    <w:p>
      <w:pPr>
        <w:ind w:right="920" w:firstLine="405"/>
        <w:spacing w:after="0" w:line="286" w:lineRule="auto"/>
        <w:rPr>
          <w:sz w:val="20"/>
          <w:szCs w:val="20"/>
          <w:color w:val="auto"/>
        </w:rPr>
      </w:pPr>
      <w:r>
        <w:rPr>
          <w:rFonts w:ascii="Arial" w:cs="Arial" w:eastAsia="Arial" w:hAnsi="Arial"/>
          <w:sz w:val="16"/>
          <w:szCs w:val="16"/>
          <w:color w:val="auto"/>
        </w:rPr>
        <w:t>ARPU increased 9% as of September 30, 2026 compared to September 30, 2025 benefiting from pricing initiatives on our registered agent subscriptions and an increase in higher-value legal advisory subscriptions.</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a sequential basis, ARPU as of September 30, 2026 increased 4% compared to June 30, 2026.</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small business retention rate</w:t>
      </w:r>
    </w:p>
    <w:p>
      <w:pPr>
        <w:spacing w:after="0" w:line="111" w:lineRule="exact"/>
        <w:rPr>
          <w:sz w:val="20"/>
          <w:szCs w:val="20"/>
          <w:color w:val="auto"/>
        </w:rPr>
      </w:pPr>
    </w:p>
    <w:p>
      <w:pPr>
        <w:ind w:right="60" w:firstLine="405"/>
        <w:spacing w:after="0" w:line="262" w:lineRule="auto"/>
        <w:rPr>
          <w:sz w:val="20"/>
          <w:szCs w:val="20"/>
          <w:color w:val="auto"/>
        </w:rPr>
      </w:pPr>
      <w:r>
        <w:rPr>
          <w:rFonts w:ascii="Arial" w:cs="Arial" w:eastAsia="Arial" w:hAnsi="Arial"/>
          <w:sz w:val="16"/>
          <w:szCs w:val="16"/>
          <w:color w:val="auto"/>
        </w:rPr>
        <w:t>We define annual small business retention rate as the percentage of small business subscription units active as of the last day of the quarter one year ago that were still active subscriptions 12 months later. Small business subscription units represent our subscriptions targeted at our small business customers and include subscriptions for our registered agent and compliance services, our tax solution, our virtual mail, forms and eSignature solutions and our small business legal advisory plan, and exclude subscriptions from our enterprise customers, our prior operations in the U.K., Formation Nation and our consumer legal advisory plan. Annual small business retention rate includes both monthly and annual subscription units and reflects all subscription unit attrition, including as a result of actual business failures of certain of our customers. Our annual small business retention rate as of September 30, 2026 was approximately 57% which was impacted by lower retaining subscriptions bundled into our formation offerings.</w:t>
      </w:r>
    </w:p>
    <w:p>
      <w:pPr>
        <w:spacing w:after="0" w:line="66"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We expect annual retention rate to fluctuate as we continue to test new products, subscription term lengths and price points and seek to optimize our product offerings across our lineup. While there may be a general correlation between annual small business retention rate and our ability to increase customer lifetime value and the growth of our customer base, we do not view it as a predictor of future revenue given the varying needs of a small business during its lifecycle and the varying use cases of the products underlying our subscription units.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generate revenue from the following sources:</w:t>
      </w:r>
    </w:p>
    <w:p>
      <w:pPr>
        <w:spacing w:after="0" w:line="113" w:lineRule="exact"/>
        <w:rPr>
          <w:sz w:val="20"/>
          <w:szCs w:val="20"/>
          <w:color w:val="auto"/>
        </w:rPr>
      </w:pPr>
    </w:p>
    <w:p>
      <w:pPr>
        <w:jc w:val="both"/>
        <w:ind w:right="300" w:firstLine="405"/>
        <w:spacing w:after="0" w:line="275" w:lineRule="auto"/>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—Transaction revenue is primarily generated from our customized legal document services upon fulfillment of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includes filing fees and is net of cancellations, promotional discounts, sales allowances and credit reserves. We also earn fees from third-party providers in connection with lead generation activities, where referred customers purchased services that are transactional in nature.</w:t>
      </w:r>
    </w:p>
    <w:p>
      <w:pPr>
        <w:spacing w:after="0" w:line="56"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—Subscription revenue is generated primarily from subscriptions to our registered agent, compliance packages, attorney advice,</w:t>
      </w:r>
      <w:r>
        <w:rPr>
          <w:rFonts w:ascii="Arial" w:cs="Arial" w:eastAsia="Arial" w:hAnsi="Arial"/>
          <w:sz w:val="16"/>
          <w:szCs w:val="16"/>
          <w:i w:val="1"/>
          <w:iCs w:val="1"/>
          <w:color w:val="auto"/>
        </w:rPr>
        <w:t xml:space="preserve"> </w:t>
      </w:r>
      <w:r>
        <w:rPr>
          <w:rFonts w:ascii="Arial" w:cs="Arial" w:eastAsia="Arial" w:hAnsi="Arial"/>
          <w:sz w:val="16"/>
          <w:szCs w:val="16"/>
          <w:color w:val="auto"/>
        </w:rPr>
        <w:t>legal forms, tax and accounting, virtual mail and eSignature services, and software-as-a-service (“SaaS”) subscriptions. We generally recognize revenue from our subscriptions ratably over the subscription term. Subscription terms generally range from thirty days to one year. Subscription revenue also includes amounts earned from third-party providers in connection with lead generation activities, where referred customers purchased services that are subscription in nature. Subscription revenue includes the transaction price allocated to bundled free trials for our subscription services and is net of promotional discounts, cancellations, sales allowances and credit reserves and payments to third party service providers such as legal plan law firms.</w:t>
      </w:r>
    </w:p>
    <w:p>
      <w:pPr>
        <w:spacing w:after="0" w:line="82" w:lineRule="exact"/>
        <w:rPr>
          <w:sz w:val="20"/>
          <w:szCs w:val="20"/>
          <w:color w:val="auto"/>
        </w:rPr>
      </w:pPr>
    </w:p>
    <w:p>
      <w:pPr>
        <w:ind w:right="20" w:firstLine="405"/>
        <w:spacing w:after="0" w:line="261" w:lineRule="auto"/>
        <w:rPr>
          <w:sz w:val="20"/>
          <w:szCs w:val="20"/>
          <w:color w:val="auto"/>
        </w:rPr>
      </w:pPr>
      <w:r>
        <w:rPr>
          <w:rFonts w:ascii="Arial" w:cs="Arial" w:eastAsia="Arial" w:hAnsi="Arial"/>
          <w:sz w:val="16"/>
          <w:szCs w:val="16"/>
          <w:color w:val="auto"/>
        </w:rPr>
        <w:t>The timing of revenue recognition, billings and cash collections results in accounts receivable and contract assets. For transaction and subscription revenue, we generally collect payments and fees at the time orders are placed and prior to services being rendered. We record amounts collected for services that have not been performed as deferred revenue on our unaudited condensed consolidated balance sheet. We record amounts recognized as revenue but not yet billed as contract assets within accounts receivable on our unaudited condensed consolidated balance sheets.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68" w:lineRule="exact"/>
        <w:rPr>
          <w:sz w:val="20"/>
          <w:szCs w:val="20"/>
          <w:color w:val="auto"/>
        </w:rPr>
      </w:pPr>
    </w:p>
    <w:p>
      <w:pPr>
        <w:ind w:right="420" w:firstLine="405"/>
        <w:spacing w:after="0" w:line="275" w:lineRule="auto"/>
        <w:rPr>
          <w:sz w:val="20"/>
          <w:szCs w:val="20"/>
          <w:color w:val="auto"/>
        </w:rPr>
      </w:pPr>
      <w:r>
        <w:rPr>
          <w:rFonts w:ascii="Arial" w:cs="Arial" w:eastAsia="Arial" w:hAnsi="Arial"/>
          <w:sz w:val="16"/>
          <w:szCs w:val="16"/>
          <w:color w:val="auto"/>
        </w:rPr>
        <w:t>See the section titled “</w:t>
      </w:r>
      <w:r>
        <w:rPr>
          <w:rFonts w:ascii="Arial" w:cs="Arial" w:eastAsia="Arial" w:hAnsi="Arial"/>
          <w:sz w:val="16"/>
          <w:szCs w:val="16"/>
          <w:i w:val="1"/>
          <w:iCs w:val="1"/>
          <w:color w:val="auto"/>
        </w:rPr>
        <w:t>Management’s Discussion and Analysis of Financial Condition and Results of Operations—Critical Accounting Estimates—</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Recognition</w:t>
      </w:r>
      <w:r>
        <w:rPr>
          <w:rFonts w:ascii="Arial" w:cs="Arial" w:eastAsia="Arial" w:hAnsi="Arial"/>
          <w:sz w:val="16"/>
          <w:szCs w:val="16"/>
          <w:color w:val="auto"/>
        </w:rPr>
        <w:t>” in our 2025 Annual Report on Form 10-K for a description of the accounting policies related to revenue recognition,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that contain multiple deliverables.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33"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Cost of revenue includes all costs of providing and fulfilling our services. Cost of revenue primarily includes government filing fees, costs of fulfillment, customer care, and payroll services,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 and gross margin</w:t>
      </w:r>
    </w:p>
    <w:p>
      <w:pPr>
        <w:spacing w:after="0" w:line="219" w:lineRule="exact"/>
        <w:rPr>
          <w:sz w:val="20"/>
          <w:szCs w:val="20"/>
          <w:color w:val="auto"/>
        </w:rPr>
      </w:pPr>
    </w:p>
    <w:p>
      <w:pPr>
        <w:ind w:right="40" w:firstLine="405"/>
        <w:spacing w:after="0" w:line="271" w:lineRule="auto"/>
        <w:rPr>
          <w:sz w:val="20"/>
          <w:szCs w:val="20"/>
          <w:color w:val="auto"/>
        </w:rPr>
      </w:pPr>
      <w:r>
        <w:rPr>
          <w:rFonts w:ascii="Arial" w:cs="Arial" w:eastAsia="Arial" w:hAnsi="Arial"/>
          <w:sz w:val="16"/>
          <w:szCs w:val="16"/>
          <w:color w:val="auto"/>
        </w:rPr>
        <w:t>Gross profit, or revenue less cost of revenue, and gross margin, or gross profit as a percentage of revenue, have been and will continue to be affected by various factors, primarily the mix between transaction and subscription revenue. Our gross margin expansion is also expected to be driven by automation improvements and digitization efforts. Further, our acquisitions of other companies have negatively impacted our gross margin in the past, and any such future acquisitions could have a similar effect. Our gross margin could fluctuate from period to period due to fulfillment rates and seasonality.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19" w:lineRule="exact"/>
        <w:rPr>
          <w:sz w:val="20"/>
          <w:szCs w:val="20"/>
          <w:color w:val="auto"/>
        </w:rPr>
      </w:pPr>
    </w:p>
    <w:p>
      <w:pPr>
        <w:ind w:right="160" w:firstLine="405"/>
        <w:spacing w:after="0" w:line="304" w:lineRule="auto"/>
        <w:rPr>
          <w:sz w:val="20"/>
          <w:szCs w:val="20"/>
          <w:color w:val="auto"/>
        </w:rPr>
      </w:pPr>
      <w:r>
        <w:rPr>
          <w:rFonts w:ascii="Arial" w:cs="Arial" w:eastAsia="Arial" w:hAnsi="Arial"/>
          <w:sz w:val="16"/>
          <w:szCs w:val="16"/>
          <w:color w:val="auto"/>
        </w:rPr>
        <w:t>Our operating expenses consist primarily of sales and marketing, technology and development, general and administrative expenses, and to a lesser extent, gain on sale of assets held for sale.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219"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social media costs. Marketing and advertising costs to promote our services are expensed in the period incurred. Media production costs are expensed the first time the advertisement is aired.</w:t>
      </w:r>
    </w:p>
    <w:p>
      <w:pPr>
        <w:spacing w:after="0" w:line="64" w:lineRule="exact"/>
        <w:rPr>
          <w:sz w:val="20"/>
          <w:szCs w:val="20"/>
          <w:color w:val="auto"/>
        </w:rPr>
      </w:pPr>
    </w:p>
    <w:p>
      <w:pPr>
        <w:jc w:val="both"/>
        <w:ind w:right="100" w:firstLine="405"/>
        <w:spacing w:after="0" w:line="271" w:lineRule="auto"/>
        <w:rPr>
          <w:sz w:val="20"/>
          <w:szCs w:val="20"/>
          <w:color w:val="auto"/>
        </w:rPr>
      </w:pPr>
      <w:r>
        <w:rPr>
          <w:rFonts w:ascii="Arial" w:cs="Arial" w:eastAsia="Arial" w:hAnsi="Arial"/>
          <w:sz w:val="16"/>
          <w:szCs w:val="16"/>
          <w:color w:val="auto"/>
        </w:rPr>
        <w:t>Customer acquisition media spend has historically been highest in the first quarter of the year to align with business formation seasonality. We expect to continue to invest in sales and marketing to drive additional revenue, further penetrate our expanding addressable market, and build on our digital brand leadership and awareness. We anticipate that sales and marketing expenses will continue to be our largest operating expense category for 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w:t>
      </w:r>
    </w:p>
    <w:p>
      <w:pPr>
        <w:spacing w:after="0" w:line="219"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Technology and development expenses consist primarily of personnel costs and related benefits, including stock-based compensation for technology and development personnel,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spacing w:after="0" w:line="64" w:lineRule="exact"/>
        <w:rPr>
          <w:sz w:val="20"/>
          <w:szCs w:val="20"/>
          <w:color w:val="auto"/>
        </w:rPr>
      </w:pPr>
    </w:p>
    <w:p>
      <w:pPr>
        <w:ind w:right="420" w:firstLine="405"/>
        <w:spacing w:after="0" w:line="275" w:lineRule="auto"/>
        <w:rPr>
          <w:sz w:val="20"/>
          <w:szCs w:val="20"/>
          <w:color w:val="auto"/>
        </w:rPr>
      </w:pPr>
      <w:r>
        <w:rPr>
          <w:rFonts w:ascii="Arial" w:cs="Arial" w:eastAsia="Arial" w:hAnsi="Arial"/>
          <w:sz w:val="16"/>
          <w:szCs w:val="16"/>
          <w:color w:val="auto"/>
        </w:rPr>
        <w:t>Excluding stock-based compensation, we expect our technology and development expenses to decrease as a percentage of our revenue as we continue to invest in process efficiency initiatives, which includes the use of AI, although our technology and development expenses may fluctuate as a percentage of our revenue from period-to-period due to seasonality and the timing and extent of these expenses.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233"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 We expect our general and administrative expenses to decrease as a percentage of our revenue over the longer term. However, our general and administrative expenses may fluctuate as a percentage of our revenue from period-to-period due to the timing and extent of the foregoing expenses and seasonality.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Gain on sale of assets held for sale</w:t>
      </w:r>
    </w:p>
    <w:p>
      <w:pPr>
        <w:spacing w:after="0" w:line="2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Gain on sale of assets held for sale relates to the sale of our operational headquarters on March 31, 2025.</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233" w:lineRule="exact"/>
        <w:rPr>
          <w:sz w:val="20"/>
          <w:szCs w:val="20"/>
          <w:color w:val="auto"/>
        </w:rPr>
      </w:pPr>
    </w:p>
    <w:p>
      <w:pPr>
        <w:jc w:val="both"/>
        <w:ind w:right="300" w:firstLine="405"/>
        <w:spacing w:after="0" w:line="266" w:lineRule="auto"/>
        <w:rPr>
          <w:sz w:val="20"/>
          <w:szCs w:val="20"/>
          <w:color w:val="auto"/>
        </w:rPr>
      </w:pPr>
      <w:r>
        <w:rPr>
          <w:rFonts w:ascii="Arial" w:cs="Arial" w:eastAsia="Arial" w:hAnsi="Arial"/>
          <w:sz w:val="16"/>
          <w:szCs w:val="16"/>
          <w:color w:val="auto"/>
        </w:rPr>
        <w:t>Interest expense consists primarily of amortization of debt issuance costs related to our amended and restated credit and guaranty agreement (as amended, the “Amended Revolving Facility”) as well as interest incurred on the deferred cash consideration associated with the acquisition of Formation Nation.</w:t>
      </w:r>
    </w:p>
    <w:p>
      <w:pPr>
        <w:spacing w:after="0" w:line="77" w:lineRule="exact"/>
        <w:rPr>
          <w:sz w:val="20"/>
          <w:szCs w:val="20"/>
          <w:color w:val="auto"/>
        </w:rPr>
      </w:pPr>
    </w:p>
    <w:p>
      <w:pPr>
        <w:ind w:right="560" w:firstLine="405"/>
        <w:spacing w:after="0" w:line="286" w:lineRule="auto"/>
        <w:rPr>
          <w:sz w:val="20"/>
          <w:szCs w:val="20"/>
          <w:color w:val="auto"/>
        </w:rPr>
      </w:pPr>
      <w:r>
        <w:rPr>
          <w:rFonts w:ascii="Arial" w:cs="Arial" w:eastAsia="Arial" w:hAnsi="Arial"/>
          <w:sz w:val="16"/>
          <w:szCs w:val="16"/>
          <w:color w:val="auto"/>
        </w:rPr>
        <w:t>We expect interest expense to remain insignificant in the near term as we have no outstanding indebtedness. However, we would incur interest expense in the longer term should we borrow on our Amended Revolving Facility or incur other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income consists primarily of interest income generated from our investment in money market funds.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income, net</w:t>
      </w:r>
    </w:p>
    <w:p>
      <w:pPr>
        <w:spacing w:after="0" w:line="233"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Other (expense) income, net consists primarily of realized and unrealized foreign currency gains and losses, changes in fair value of investments, and other non-operating gains and losses.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3" w:right="37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provision for income taxes consists of current and deferred federal, state and foreign income taxes.</w:t>
      </w:r>
    </w:p>
    <w:p>
      <w:pPr>
        <w:spacing w:after="0" w:line="127"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 xml:space="preserve">We account for income taxes in accordance with Accounting Standard Codification 740, </w:t>
      </w:r>
      <w:r>
        <w:rPr>
          <w:rFonts w:ascii="Arial" w:cs="Arial" w:eastAsia="Arial" w:hAnsi="Arial"/>
          <w:sz w:val="16"/>
          <w:szCs w:val="16"/>
          <w:i w:val="1"/>
          <w:iCs w:val="1"/>
          <w:color w:val="auto"/>
        </w:rPr>
        <w:t>Income Ta</w:t>
      </w:r>
      <w:r>
        <w:rPr>
          <w:rFonts w:ascii="Arial" w:cs="Arial" w:eastAsia="Arial" w:hAnsi="Arial"/>
          <w:sz w:val="16"/>
          <w:szCs w:val="16"/>
          <w:color w:val="auto"/>
        </w:rPr>
        <w:t>xes, which requires an estimate of the annual effective tax rate for the full year to be applied to the interim period, taking into account year-to-date amounts and projected results for the full year.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stock-based compensation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21" w:lineRule="exact"/>
        <w:rPr>
          <w:sz w:val="20"/>
          <w:szCs w:val="20"/>
          <w:color w:val="auto"/>
        </w:rPr>
      </w:pPr>
    </w:p>
    <w:p>
      <w:pPr>
        <w:ind w:right="380" w:firstLine="405"/>
        <w:spacing w:after="0" w:line="286" w:lineRule="auto"/>
        <w:rPr>
          <w:sz w:val="20"/>
          <w:szCs w:val="20"/>
          <w:color w:val="auto"/>
        </w:rPr>
      </w:pPr>
      <w:r>
        <w:rPr>
          <w:rFonts w:ascii="Arial" w:cs="Arial" w:eastAsia="Arial" w:hAnsi="Arial"/>
          <w:sz w:val="16"/>
          <w:szCs w:val="16"/>
          <w:color w:val="auto"/>
        </w:rPr>
        <w:t>The following table sets forth our unaudited condensed consolidated statement of operations data for each of the periods indicated. The period-to-period comparison of financial results should not be considered as a prediction or indicative of our future results: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4300" w:type="dxa"/>
            <w:vAlign w:val="bottom"/>
            <w:gridSpan w:val="7"/>
          </w:tcPr>
          <w:p>
            <w:pPr>
              <w:ind w:left="1420"/>
              <w:spacing w:after="0"/>
              <w:rPr>
                <w:sz w:val="20"/>
                <w:szCs w:val="20"/>
                <w:color w:val="auto"/>
              </w:rPr>
            </w:pPr>
            <w:r>
              <w:rPr>
                <w:rFonts w:ascii="Arial" w:cs="Arial" w:eastAsia="Arial" w:hAnsi="Arial"/>
                <w:sz w:val="16"/>
                <w:szCs w:val="16"/>
                <w:b w:val="1"/>
                <w:bCs w:val="1"/>
                <w:color w:val="auto"/>
              </w:rPr>
              <w:t>Three Months Ended September 30,</w:t>
            </w:r>
          </w:p>
        </w:tc>
        <w:tc>
          <w:tcPr>
            <w:tcW w:w="2740" w:type="dxa"/>
            <w:vAlign w:val="bottom"/>
            <w:gridSpan w:val="5"/>
          </w:tcPr>
          <w:p>
            <w:pPr>
              <w:ind w:left="40"/>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4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2026</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r>
      <w:tr>
        <w:trPr>
          <w:trHeight w:val="208"/>
        </w:trPr>
        <w:tc>
          <w:tcPr>
            <w:tcW w:w="4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ind w:left="560"/>
              <w:spacing w:after="0"/>
              <w:rPr>
                <w:sz w:val="20"/>
                <w:szCs w:val="20"/>
                <w:color w:val="auto"/>
              </w:rPr>
            </w:pPr>
            <w:r>
              <w:rPr>
                <w:rFonts w:ascii="Arial" w:cs="Arial" w:eastAsia="Arial" w:hAnsi="Arial"/>
                <w:sz w:val="16"/>
                <w:szCs w:val="16"/>
                <w:i w:val="1"/>
                <w:iCs w:val="1"/>
                <w:color w:val="auto"/>
              </w:rPr>
              <w:t>(in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7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607,216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565,777</w:t>
            </w:r>
          </w:p>
        </w:tc>
      </w:tr>
      <w:tr>
        <w:trPr>
          <w:trHeight w:val="216"/>
        </w:trPr>
        <w:tc>
          <w:tcPr>
            <w:tcW w:w="42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1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57,083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62,271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196,970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196,229</w:t>
            </w: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410,246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369,548</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420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198,793</w:t>
            </w:r>
          </w:p>
        </w:tc>
      </w:tr>
      <w:tr>
        <w:trPr>
          <w:trHeight w:val="216"/>
        </w:trPr>
        <w:tc>
          <w:tcPr>
            <w:tcW w:w="4200" w:type="dxa"/>
            <w:vAlign w:val="bottom"/>
          </w:tcPr>
          <w:p>
            <w:pPr>
              <w:ind w:left="240"/>
              <w:spacing w:after="0" w:line="216" w:lineRule="exact"/>
              <w:rPr>
                <w:sz w:val="20"/>
                <w:szCs w:val="20"/>
                <w:color w:val="auto"/>
              </w:rPr>
            </w:pPr>
            <w:r>
              <w:rPr>
                <w:rFonts w:ascii="Arial" w:cs="Arial" w:eastAsia="Arial" w:hAnsi="Arial"/>
                <w:sz w:val="16"/>
                <w:szCs w:val="16"/>
                <w:color w:val="auto"/>
              </w:rPr>
              <w:t>Technology and development</w:t>
            </w:r>
            <w:r>
              <w:rPr>
                <w:rFonts w:ascii="Arial" w:cs="Arial" w:eastAsia="Arial" w:hAnsi="Arial"/>
                <w:sz w:val="21"/>
                <w:szCs w:val="21"/>
                <w:color w:val="auto"/>
                <w:vertAlign w:val="superscript"/>
              </w:rPr>
              <w:t>(1)(2)</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53,949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62,442</w:t>
            </w:r>
          </w:p>
        </w:tc>
      </w:tr>
      <w:tr>
        <w:trPr>
          <w:trHeight w:val="216"/>
        </w:trPr>
        <w:tc>
          <w:tcPr>
            <w:tcW w:w="42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110,291</w:t>
            </w:r>
          </w:p>
        </w:tc>
      </w:tr>
      <w:tr>
        <w:trPr>
          <w:trHeight w:val="215"/>
        </w:trPr>
        <w:tc>
          <w:tcPr>
            <w:tcW w:w="4200" w:type="dxa"/>
            <w:vAlign w:val="bottom"/>
          </w:tcPr>
          <w:p>
            <w:pPr>
              <w:ind w:left="240"/>
              <w:spacing w:after="0"/>
              <w:rPr>
                <w:sz w:val="20"/>
                <w:szCs w:val="20"/>
                <w:color w:val="auto"/>
              </w:rPr>
            </w:pPr>
            <w:r>
              <w:rPr>
                <w:rFonts w:ascii="Arial" w:cs="Arial" w:eastAsia="Arial" w:hAnsi="Arial"/>
                <w:sz w:val="16"/>
                <w:szCs w:val="16"/>
                <w:color w:val="auto"/>
              </w:rPr>
              <w:t>Gain on sale of assets held for sale</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(14,337)</w:t>
            </w:r>
          </w:p>
        </w:tc>
      </w:tr>
      <w:tr>
        <w:trPr>
          <w:trHeight w:val="210"/>
        </w:trPr>
        <w:tc>
          <w:tcPr>
            <w:tcW w:w="42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operating expenses</w:t>
            </w:r>
          </w:p>
        </w:tc>
        <w:tc>
          <w:tcPr>
            <w:tcW w:w="1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124,519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121,394</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383,288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357,189</w:t>
            </w:r>
          </w:p>
        </w:tc>
      </w:tr>
      <w:tr>
        <w:trPr>
          <w:trHeight w:val="209"/>
        </w:trPr>
        <w:tc>
          <w:tcPr>
            <w:tcW w:w="420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26,958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12,359</w:t>
            </w:r>
          </w:p>
        </w:tc>
      </w:tr>
      <w:tr>
        <w:trPr>
          <w:trHeight w:val="217"/>
        </w:trPr>
        <w:tc>
          <w:tcPr>
            <w:tcW w:w="4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215"/>
        </w:trPr>
        <w:tc>
          <w:tcPr>
            <w:tcW w:w="4200" w:type="dxa"/>
            <w:vAlign w:val="bottom"/>
          </w:tcPr>
          <w:p>
            <w:pPr>
              <w:ind w:left="240"/>
              <w:spacing w:after="0"/>
              <w:rPr>
                <w:sz w:val="20"/>
                <w:szCs w:val="20"/>
                <w:color w:val="auto"/>
              </w:rPr>
            </w:pPr>
            <w:r>
              <w:rPr>
                <w:rFonts w:ascii="Arial" w:cs="Arial" w:eastAsia="Arial" w:hAnsi="Arial"/>
                <w:sz w:val="16"/>
                <w:szCs w:val="16"/>
                <w:color w:val="auto"/>
              </w:rPr>
              <w:t>Interest income</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5,691</w:t>
            </w:r>
          </w:p>
        </w:tc>
      </w:tr>
      <w:tr>
        <w:trPr>
          <w:trHeight w:val="217"/>
        </w:trPr>
        <w:tc>
          <w:tcPr>
            <w:tcW w:w="4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(expense) income, net</w:t>
            </w:r>
          </w:p>
        </w:tc>
        <w:tc>
          <w:tcPr>
            <w:tcW w:w="14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w:t>
            </w:r>
          </w:p>
        </w:tc>
      </w:tr>
      <w:tr>
        <w:trPr>
          <w:trHeight w:val="209"/>
        </w:trPr>
        <w:tc>
          <w:tcPr>
            <w:tcW w:w="42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30,828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18,448</w:t>
            </w:r>
          </w:p>
        </w:tc>
      </w:tr>
      <w:tr>
        <w:trPr>
          <w:trHeight w:val="217"/>
        </w:trPr>
        <w:tc>
          <w:tcPr>
            <w:tcW w:w="4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income taxes</w:t>
            </w:r>
          </w:p>
        </w:tc>
        <w:tc>
          <w:tcPr>
            <w:tcW w:w="14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9,078</w:t>
            </w:r>
          </w:p>
        </w:tc>
      </w:tr>
      <w:tr>
        <w:trPr>
          <w:trHeight w:val="210"/>
        </w:trPr>
        <w:tc>
          <w:tcPr>
            <w:tcW w:w="42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6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4,509</w:t>
            </w:r>
          </w:p>
        </w:tc>
        <w:tc>
          <w:tcPr>
            <w:tcW w:w="100" w:type="dxa"/>
            <w:vAlign w:val="bottom"/>
          </w:tcPr>
          <w:p>
            <w:pPr>
              <w:spacing w:after="0"/>
              <w:rPr>
                <w:sz w:val="18"/>
                <w:szCs w:val="18"/>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9,370</w:t>
            </w:r>
          </w:p>
        </w:tc>
      </w:tr>
      <w:tr>
        <w:trPr>
          <w:trHeight w:val="20"/>
        </w:trPr>
        <w:tc>
          <w:tcPr>
            <w:tcW w:w="4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stock-based compensation expense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00" w:type="dxa"/>
            <w:vAlign w:val="bottom"/>
          </w:tcPr>
          <w:p>
            <w:pPr>
              <w:spacing w:after="0"/>
              <w:rPr>
                <w:sz w:val="18"/>
                <w:szCs w:val="18"/>
                <w:color w:val="auto"/>
              </w:rPr>
            </w:pPr>
          </w:p>
        </w:tc>
        <w:tc>
          <w:tcPr>
            <w:tcW w:w="3940" w:type="dxa"/>
            <w:vAlign w:val="bottom"/>
            <w:gridSpan w:val="7"/>
          </w:tcPr>
          <w:p>
            <w:pPr>
              <w:ind w:left="1020"/>
              <w:spacing w:after="0"/>
              <w:rPr>
                <w:sz w:val="20"/>
                <w:szCs w:val="20"/>
                <w:color w:val="auto"/>
              </w:rPr>
            </w:pPr>
            <w:r>
              <w:rPr>
                <w:rFonts w:ascii="Arial" w:cs="Arial" w:eastAsia="Arial" w:hAnsi="Arial"/>
                <w:sz w:val="16"/>
                <w:szCs w:val="16"/>
                <w:b w:val="1"/>
                <w:bCs w:val="1"/>
                <w:color w:val="auto"/>
              </w:rPr>
              <w:t>Three Months Ended September 30,</w:t>
            </w:r>
          </w:p>
        </w:tc>
        <w:tc>
          <w:tcPr>
            <w:tcW w:w="280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4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09"/>
        </w:trPr>
        <w:tc>
          <w:tcPr>
            <w:tcW w:w="4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380" w:type="dxa"/>
            <w:vAlign w:val="bottom"/>
            <w:gridSpan w:val="2"/>
            <w:shd w:val="clear" w:color="auto" w:fill="CCEEFF"/>
          </w:tcPr>
          <w:p>
            <w:pPr>
              <w:jc w:val="center"/>
              <w:ind w:left="7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4,159</w:t>
            </w: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4,445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12,685</w:t>
            </w: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11,575</w:t>
            </w:r>
          </w:p>
        </w:tc>
      </w:tr>
      <w:tr>
        <w:trPr>
          <w:trHeight w:val="21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0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19,610</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40,511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60,344</w:t>
            </w:r>
          </w:p>
        </w:tc>
      </w:tr>
      <w:tr>
        <w:trPr>
          <w:trHeight w:val="235"/>
        </w:trPr>
        <w:tc>
          <w:tcPr>
            <w:tcW w:w="45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stock-based compensation expense</w:t>
            </w: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28,369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63,909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88,763</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877"/>
        </w:trPr>
        <w:tc>
          <w:tcPr>
            <w:tcW w:w="4500" w:type="dxa"/>
            <w:vAlign w:val="bottom"/>
          </w:tcPr>
          <w:p>
            <w:pPr>
              <w:spacing w:after="0"/>
              <w:rPr>
                <w:sz w:val="24"/>
                <w:szCs w:val="24"/>
                <w:color w:val="auto"/>
              </w:rPr>
            </w:pPr>
          </w:p>
        </w:tc>
        <w:tc>
          <w:tcPr>
            <w:tcW w:w="1380" w:type="dxa"/>
            <w:vAlign w:val="bottom"/>
            <w:gridSpan w:val="2"/>
          </w:tcPr>
          <w:p>
            <w:pPr>
              <w:jc w:val="center"/>
              <w:ind w:left="799"/>
              <w:spacing w:after="0"/>
              <w:rPr>
                <w:sz w:val="20"/>
                <w:szCs w:val="20"/>
                <w:color w:val="auto"/>
              </w:rPr>
            </w:pPr>
            <w:r>
              <w:rPr>
                <w:rFonts w:ascii="Arial" w:cs="Arial" w:eastAsia="Arial" w:hAnsi="Arial"/>
                <w:sz w:val="16"/>
                <w:szCs w:val="16"/>
                <w:color w:val="auto"/>
              </w:rPr>
              <w:t>27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3"/>
        </w:trPr>
        <w:tc>
          <w:tcPr>
            <w:tcW w:w="45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30" w:name="page31"/>
    <w:bookmarkEnd w:id="30"/>
    <w:p>
      <w:pPr>
        <w:ind w:right="20" w:firstLine="405"/>
        <w:spacing w:after="0" w:line="265" w:lineRule="auto"/>
        <w:rPr>
          <w:sz w:val="20"/>
          <w:szCs w:val="20"/>
          <w:color w:val="auto"/>
        </w:rPr>
      </w:pPr>
      <w:r>
        <w:rPr>
          <w:rFonts w:ascii="Arial" w:cs="Arial" w:eastAsia="Arial" w:hAnsi="Arial"/>
          <w:sz w:val="16"/>
          <w:szCs w:val="16"/>
          <w:color w:val="auto"/>
        </w:rPr>
        <w:t>Stock-based compensation expense decreased for the three and nine months ended September 30, 2026 compared to the three and nine months ended September 30, 2025, primarily due to lower expense from performance stock units (“PSUs”), including certain PSUs with market conditions granted in prior periods, as well as lower expense from time-based restricted stock units (“RSUs”). See Note 8 to our accompanying unaudited condensed consolidated financial statements and Note 14 to our consolidated financial statements included in our 2025 Annual Report on Form 10-K for additional information.</w:t>
      </w:r>
    </w:p>
    <w:p>
      <w:pPr>
        <w:spacing w:after="0" w:line="78" w:lineRule="exact"/>
        <w:rPr>
          <w:sz w:val="20"/>
          <w:szCs w:val="20"/>
          <w:color w:val="auto"/>
        </w:rPr>
      </w:pPr>
    </w:p>
    <w:p>
      <w:pPr>
        <w:ind w:left="420" w:right="280" w:hanging="412"/>
        <w:spacing w:after="0" w:line="286" w:lineRule="auto"/>
        <w:tabs>
          <w:tab w:leader="none" w:pos="40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depreciation and amortization expense for our property and equipment, including capitalized internal-use software and intangible assets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3860" w:type="dxa"/>
            <w:vAlign w:val="bottom"/>
            <w:gridSpan w:val="7"/>
          </w:tcPr>
          <w:p>
            <w:pPr>
              <w:ind w:left="940"/>
              <w:spacing w:after="0"/>
              <w:rPr>
                <w:sz w:val="20"/>
                <w:szCs w:val="20"/>
                <w:color w:val="auto"/>
              </w:rPr>
            </w:pPr>
            <w:r>
              <w:rPr>
                <w:rFonts w:ascii="Arial" w:cs="Arial" w:eastAsia="Arial" w:hAnsi="Arial"/>
                <w:sz w:val="16"/>
                <w:szCs w:val="16"/>
                <w:b w:val="1"/>
                <w:bCs w:val="1"/>
                <w:color w:val="auto"/>
              </w:rPr>
              <w:t>Three Months Ended September 30,</w:t>
            </w:r>
          </w:p>
        </w:tc>
        <w:tc>
          <w:tcPr>
            <w:tcW w:w="280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08"/>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15,771</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6,682</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6,459</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w:t>
            </w:r>
          </w:p>
        </w:tc>
      </w:tr>
      <w:tr>
        <w:trPr>
          <w:trHeight w:val="235"/>
        </w:trPr>
        <w:tc>
          <w:tcPr>
            <w:tcW w:w="4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depreciation and amortization expense</w:t>
            </w:r>
          </w:p>
        </w:tc>
        <w:tc>
          <w:tcPr>
            <w:tcW w:w="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11,373</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33,283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the Three Months Ended September 30,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53"/>
        </w:trPr>
        <w:tc>
          <w:tcPr>
            <w:tcW w:w="3400" w:type="dxa"/>
            <w:vAlign w:val="bottom"/>
          </w:tcPr>
          <w:p>
            <w:pPr>
              <w:spacing w:after="0"/>
              <w:rPr>
                <w:sz w:val="24"/>
                <w:szCs w:val="24"/>
                <w:color w:val="auto"/>
              </w:rPr>
            </w:pPr>
          </w:p>
        </w:tc>
        <w:tc>
          <w:tcPr>
            <w:tcW w:w="5000" w:type="dxa"/>
            <w:vAlign w:val="bottom"/>
            <w:gridSpan w:val="7"/>
          </w:tcPr>
          <w:p>
            <w:pPr>
              <w:ind w:left="208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9"/>
        </w:trPr>
        <w:tc>
          <w:tcPr>
            <w:tcW w:w="3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3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5"/>
          </w:tcPr>
          <w:p>
            <w:pPr>
              <w:spacing w:after="0"/>
              <w:rPr>
                <w:sz w:val="20"/>
                <w:szCs w:val="20"/>
                <w:color w:val="auto"/>
              </w:rPr>
            </w:pPr>
            <w:r>
              <w:rPr>
                <w:rFonts w:ascii="Arial" w:cs="Arial" w:eastAsia="Arial" w:hAnsi="Arial"/>
                <w:sz w:val="16"/>
                <w:szCs w:val="16"/>
                <w:i w:val="1"/>
                <w:iCs w:val="1"/>
                <w:color w:val="auto"/>
              </w:rPr>
              <w:t>(in thousands, except percentages)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 by type</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Transaction</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55,473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64,799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(9,326)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2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139,673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14,314</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9"/>
        </w:trPr>
        <w:tc>
          <w:tcPr>
            <w:tcW w:w="3400" w:type="dxa"/>
            <w:vAlign w:val="bottom"/>
          </w:tcPr>
          <w:p>
            <w:pPr>
              <w:ind w:left="360"/>
              <w:spacing w:after="0"/>
              <w:rPr>
                <w:sz w:val="20"/>
                <w:szCs w:val="20"/>
                <w:color w:val="auto"/>
              </w:rPr>
            </w:pPr>
            <w:r>
              <w:rPr>
                <w:rFonts w:ascii="Arial" w:cs="Arial" w:eastAsia="Arial" w:hAnsi="Arial"/>
                <w:sz w:val="16"/>
                <w:szCs w:val="16"/>
                <w:color w:val="auto"/>
              </w:rPr>
              <w:t>Total revenue</w:t>
            </w:r>
          </w:p>
        </w:tc>
        <w:tc>
          <w:tcPr>
            <w:tcW w:w="2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195,146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190,158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4,988</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r>
      <w:tr>
        <w:trPr>
          <w:trHeight w:val="21"/>
        </w:trPr>
        <w:tc>
          <w:tcPr>
            <w:tcW w:w="3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0" w:firstLine="405"/>
        <w:spacing w:after="0" w:line="271" w:lineRule="auto"/>
        <w:rPr>
          <w:sz w:val="20"/>
          <w:szCs w:val="20"/>
          <w:color w:val="auto"/>
        </w:rPr>
      </w:pPr>
      <w:r>
        <w:rPr>
          <w:rFonts w:ascii="Arial" w:cs="Arial" w:eastAsia="Arial" w:hAnsi="Arial"/>
          <w:sz w:val="16"/>
          <w:szCs w:val="16"/>
          <w:color w:val="auto"/>
        </w:rPr>
        <w:t>The increase in total revenue for the three months ended September 30, 2026 compared to the three months ended September 30, 2025 was driven by continued growth in subscription revenue. Subscription revenue represented 72% and 66% of total revenue for the three months ended September 30, 2026 and 2025, respectively. Transaction revenue represented 28% and 34% of total revenue for the three months ended September 30, 2026 and 2025, respectively.</w:t>
      </w:r>
    </w:p>
    <w:p>
      <w:pPr>
        <w:spacing w:after="0" w:line="60"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Transaction revenue decreased 14% year-over-year for the three months ended September 30, 2026 due to a 17% decrease in revenue from business formations and related small business transactions.</w:t>
      </w:r>
    </w:p>
    <w:p>
      <w:pPr>
        <w:spacing w:after="0" w:line="61" w:lineRule="exact"/>
        <w:rPr>
          <w:sz w:val="20"/>
          <w:szCs w:val="20"/>
          <w:color w:val="auto"/>
        </w:rPr>
      </w:pPr>
    </w:p>
    <w:p>
      <w:pPr>
        <w:ind w:right="120" w:firstLine="405"/>
        <w:spacing w:after="0" w:line="260" w:lineRule="auto"/>
        <w:rPr>
          <w:sz w:val="20"/>
          <w:szCs w:val="20"/>
          <w:color w:val="auto"/>
        </w:rPr>
      </w:pPr>
      <w:r>
        <w:rPr>
          <w:rFonts w:ascii="Arial" w:cs="Arial" w:eastAsia="Arial" w:hAnsi="Arial"/>
          <w:sz w:val="16"/>
          <w:szCs w:val="16"/>
          <w:color w:val="auto"/>
        </w:rPr>
        <w:t>Subscription revenue increased 11% year-over-year for the three months ended September 30, 2026 primarily due to a 33% increase in revenue from our legal advisory subscriptions due to the bundling of this subscription into certain business formation offerings, as well as a 14% increase in revenue from our compliance offerings due to certain pricing initiatives, and strength in our virtual mail subscription offering. The increase in subscription revenue was partially offset by a decrease in revenue from accounting solution subscriptions due to changes in the commercialization of certain business formation bundles, as well as lower revenue from forms and eSignature subscriptions.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1"/>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40"/>
        </w:trPr>
        <w:tc>
          <w:tcPr>
            <w:tcW w:w="5340" w:type="dxa"/>
            <w:vAlign w:val="bottom"/>
          </w:tcPr>
          <w:p>
            <w:pPr>
              <w:spacing w:after="0"/>
              <w:rPr>
                <w:sz w:val="24"/>
                <w:szCs w:val="24"/>
                <w:color w:val="auto"/>
              </w:rPr>
            </w:pPr>
          </w:p>
        </w:tc>
        <w:tc>
          <w:tcPr>
            <w:tcW w:w="288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9"/>
        </w:trPr>
        <w:tc>
          <w:tcPr>
            <w:tcW w:w="53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42"/>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57,083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62,271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Cost of revenue for the three months ended September 30, 2026 decreased by $5.2 million compared to the three months ended September 30, 2025, primarily due to a $2.5 million decrease in filing fees, a $1.8 million decrease in payroll and related benefits, largely driven by a lower average headcount, and a $1.3 million decrease in depreciation and amortization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Gross profit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45"/>
        </w:trPr>
        <w:tc>
          <w:tcPr>
            <w:tcW w:w="5360" w:type="dxa"/>
            <w:vAlign w:val="bottom"/>
          </w:tcPr>
          <w:p>
            <w:pPr>
              <w:spacing w:after="0"/>
              <w:rPr>
                <w:sz w:val="24"/>
                <w:szCs w:val="24"/>
                <w:color w:val="auto"/>
              </w:rPr>
            </w:pPr>
          </w:p>
        </w:tc>
        <w:tc>
          <w:tcPr>
            <w:tcW w:w="290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9"/>
        </w:trPr>
        <w:tc>
          <w:tcPr>
            <w:tcW w:w="53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right"/>
              <w:ind w:right="1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8"/>
                <w:szCs w:val="18"/>
                <w:color w:val="auto"/>
              </w:rPr>
            </w:pPr>
          </w:p>
        </w:tc>
      </w:tr>
      <w:tr>
        <w:trPr>
          <w:trHeight w:val="242"/>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127,887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10,176</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405"/>
        <w:spacing w:after="0" w:line="304" w:lineRule="auto"/>
        <w:rPr>
          <w:sz w:val="20"/>
          <w:szCs w:val="20"/>
          <w:color w:val="auto"/>
        </w:rPr>
      </w:pPr>
      <w:r>
        <w:rPr>
          <w:rFonts w:ascii="Arial" w:cs="Arial" w:eastAsia="Arial" w:hAnsi="Arial"/>
          <w:sz w:val="16"/>
          <w:szCs w:val="16"/>
          <w:color w:val="auto"/>
        </w:rPr>
        <w:t>Gross profit for the three months ended September 30, 2026 increased by $10.2 million compared to the three months ended September 30, 2025 due to a $5.0 million increase in revenue and a $5.2 million decrease in cost of revenue.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Sales and marketing</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39"/>
        </w:trPr>
        <w:tc>
          <w:tcPr>
            <w:tcW w:w="5380" w:type="dxa"/>
            <w:vAlign w:val="bottom"/>
          </w:tcPr>
          <w:p>
            <w:pPr>
              <w:spacing w:after="0"/>
              <w:rPr>
                <w:sz w:val="24"/>
                <w:szCs w:val="24"/>
                <w:color w:val="auto"/>
              </w:rPr>
            </w:pPr>
          </w:p>
        </w:tc>
        <w:tc>
          <w:tcPr>
            <w:tcW w:w="288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right"/>
              <w:ind w:right="1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8"/>
                <w:szCs w:val="18"/>
                <w:color w:val="auto"/>
              </w:rPr>
            </w:pPr>
          </w:p>
        </w:tc>
      </w:tr>
      <w:tr>
        <w:trPr>
          <w:trHeight w:val="242"/>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76,909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67,835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9,074</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60" w:firstLine="405"/>
        <w:spacing w:after="0" w:line="263" w:lineRule="auto"/>
        <w:rPr>
          <w:sz w:val="20"/>
          <w:szCs w:val="20"/>
          <w:color w:val="auto"/>
        </w:rPr>
      </w:pPr>
      <w:r>
        <w:rPr>
          <w:rFonts w:ascii="Arial" w:cs="Arial" w:eastAsia="Arial" w:hAnsi="Arial"/>
          <w:sz w:val="16"/>
          <w:szCs w:val="16"/>
          <w:color w:val="auto"/>
        </w:rPr>
        <w:t>Sales and marketing expenses for the three months ended September 30, 2026 increased by $9.1 million compared to the three months ended September 30, 2025, primarily due to a $6.9 million increase in customer acquisition marketing spend. Customer acquisition marketing spend was</w:t>
      </w:r>
    </w:p>
    <w:p>
      <w:pPr>
        <w:ind w:right="120"/>
        <w:spacing w:after="0" w:line="267" w:lineRule="auto"/>
        <w:rPr>
          <w:sz w:val="20"/>
          <w:szCs w:val="20"/>
          <w:color w:val="auto"/>
        </w:rPr>
      </w:pPr>
      <w:r>
        <w:rPr>
          <w:rFonts w:ascii="Arial" w:cs="Arial" w:eastAsia="Arial" w:hAnsi="Arial"/>
          <w:sz w:val="16"/>
          <w:szCs w:val="16"/>
          <w:color w:val="auto"/>
        </w:rPr>
        <w:t>$51.1 million and $44.2 million for the three months ended September 30, 2026 and 2025, respectively, reflecting changes in the mix of investments across customer acquisition channels. Additionally, there was a $1.4 million increase in consulting costs and a $1.1 million increase in depreciation and amortization.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Technology and development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1"/>
        </w:trPr>
        <w:tc>
          <w:tcPr>
            <w:tcW w:w="5340" w:type="dxa"/>
            <w:vAlign w:val="bottom"/>
          </w:tcPr>
          <w:p>
            <w:pPr>
              <w:spacing w:after="0"/>
              <w:rPr>
                <w:sz w:val="24"/>
                <w:szCs w:val="24"/>
                <w:color w:val="auto"/>
              </w:rPr>
            </w:pPr>
          </w:p>
        </w:tc>
        <w:tc>
          <w:tcPr>
            <w:tcW w:w="288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0"/>
        </w:trPr>
        <w:tc>
          <w:tcPr>
            <w:tcW w:w="53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42"/>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405"/>
        <w:spacing w:after="0" w:line="275" w:lineRule="auto"/>
        <w:rPr>
          <w:sz w:val="20"/>
          <w:szCs w:val="20"/>
          <w:color w:val="auto"/>
        </w:rPr>
      </w:pPr>
      <w:r>
        <w:rPr>
          <w:rFonts w:ascii="Arial" w:cs="Arial" w:eastAsia="Arial" w:hAnsi="Arial"/>
          <w:sz w:val="16"/>
          <w:szCs w:val="16"/>
          <w:color w:val="auto"/>
        </w:rPr>
        <w:t>Technology and development expenses for the three months ended September 30, 2026 decreased by $5.2 million compared to the three months ended September 30, 2025, primarily due to a $7.8 million decrease in payroll and related benefits driven by a reduction in technology and development headcount. These decreases were partially offset by a $2.0 million increase in expense resulting from a decrease in capitalized software development costs.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1"/>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2"/>
        </w:trPr>
        <w:tc>
          <w:tcPr>
            <w:tcW w:w="5340" w:type="dxa"/>
            <w:vAlign w:val="bottom"/>
          </w:tcPr>
          <w:p>
            <w:pPr>
              <w:spacing w:after="0"/>
              <w:rPr>
                <w:sz w:val="24"/>
                <w:szCs w:val="24"/>
                <w:color w:val="auto"/>
              </w:rPr>
            </w:pPr>
          </w:p>
        </w:tc>
        <w:tc>
          <w:tcPr>
            <w:tcW w:w="288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0"/>
        </w:trPr>
        <w:tc>
          <w:tcPr>
            <w:tcW w:w="53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42"/>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33,313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34,074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General and administrative expenses for the three months ended September 30, 2026 decreased by $0.8 million compared to the three months ended September 30, 2025. The decrease was primarily due to a $6.9 million decrease in stock-based compensation expense driven by lower expense from PSUs, including PSUs with market conditions granted in prior periods, as well as a reduction in expense from RSUs. This decrease was partially offset by a $5.7 million increase in restructuring costs, primarily related to the restructuring activity completed during the three months ended September 30,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Interest expense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2"/>
        </w:trPr>
        <w:tc>
          <w:tcPr>
            <w:tcW w:w="5360" w:type="dxa"/>
            <w:vAlign w:val="bottom"/>
          </w:tcPr>
          <w:p>
            <w:pPr>
              <w:spacing w:after="0"/>
              <w:rPr>
                <w:sz w:val="24"/>
                <w:szCs w:val="24"/>
                <w:color w:val="auto"/>
              </w:rPr>
            </w:pPr>
          </w:p>
        </w:tc>
        <w:tc>
          <w:tcPr>
            <w:tcW w:w="2860" w:type="dxa"/>
            <w:vAlign w:val="bottom"/>
            <w:gridSpan w:val="6"/>
          </w:tcPr>
          <w:p>
            <w:pPr>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0"/>
        </w:trPr>
        <w:tc>
          <w:tcPr>
            <w:tcW w:w="53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69"/>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consists primarily of amortization of debt issuance costs related to our Amended Revolving Facility.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20" w:type="dxa"/>
            <w:vAlign w:val="bottom"/>
          </w:tcPr>
          <w:p>
            <w:pPr>
              <w:spacing w:after="0"/>
              <w:rPr>
                <w:sz w:val="20"/>
                <w:szCs w:val="20"/>
                <w:color w:val="auto"/>
              </w:rPr>
            </w:pPr>
            <w:r>
              <w:rPr>
                <w:rFonts w:ascii="Arial" w:cs="Arial" w:eastAsia="Arial" w:hAnsi="Arial"/>
                <w:sz w:val="16"/>
                <w:szCs w:val="16"/>
                <w:b w:val="1"/>
                <w:bCs w:val="1"/>
                <w:i w:val="1"/>
                <w:iCs w:val="1"/>
                <w:color w:val="auto"/>
              </w:rPr>
              <w:t>Interest income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2"/>
        </w:trPr>
        <w:tc>
          <w:tcPr>
            <w:tcW w:w="5320" w:type="dxa"/>
            <w:vAlign w:val="bottom"/>
          </w:tcPr>
          <w:p>
            <w:pPr>
              <w:spacing w:after="0"/>
              <w:rPr>
                <w:sz w:val="24"/>
                <w:szCs w:val="24"/>
                <w:color w:val="auto"/>
              </w:rPr>
            </w:pPr>
          </w:p>
        </w:tc>
        <w:tc>
          <w:tcPr>
            <w:tcW w:w="290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9"/>
        </w:trPr>
        <w:tc>
          <w:tcPr>
            <w:tcW w:w="53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center"/>
              <w:ind w:right="8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6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The change in interest income was primarily due to lower dividend income from money market investments during the three months ended September 30,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Other (expense), net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2"/>
        </w:trPr>
        <w:tc>
          <w:tcPr>
            <w:tcW w:w="5360" w:type="dxa"/>
            <w:vAlign w:val="bottom"/>
          </w:tcPr>
          <w:p>
            <w:pPr>
              <w:spacing w:after="0"/>
              <w:rPr>
                <w:sz w:val="24"/>
                <w:szCs w:val="24"/>
                <w:color w:val="auto"/>
              </w:rPr>
            </w:pPr>
          </w:p>
        </w:tc>
        <w:tc>
          <w:tcPr>
            <w:tcW w:w="2860" w:type="dxa"/>
            <w:vAlign w:val="bottom"/>
            <w:gridSpan w:val="6"/>
          </w:tcPr>
          <w:p>
            <w:pPr>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9"/>
        </w:trPr>
        <w:tc>
          <w:tcPr>
            <w:tcW w:w="53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42"/>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405"/>
        <w:spacing w:after="0" w:line="275" w:lineRule="auto"/>
        <w:rPr>
          <w:sz w:val="20"/>
          <w:szCs w:val="20"/>
          <w:color w:val="auto"/>
        </w:rPr>
      </w:pPr>
      <w:r>
        <w:rPr>
          <w:rFonts w:ascii="Arial" w:cs="Arial" w:eastAsia="Arial" w:hAnsi="Arial"/>
          <w:sz w:val="16"/>
          <w:szCs w:val="16"/>
          <w:color w:val="auto"/>
        </w:rPr>
        <w:t>The change in other (expense) income, net, was primarily due to a $0.1 million loss on debt extinguishment recognized during the three months ended September 30, 2025, in connection with our Amended Revolving Facility, compared to foreign currency-related expenses recognized during the three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1"/>
        </w:trPr>
        <w:tc>
          <w:tcPr>
            <w:tcW w:w="5200" w:type="dxa"/>
            <w:vAlign w:val="bottom"/>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40"/>
        </w:trPr>
        <w:tc>
          <w:tcPr>
            <w:tcW w:w="5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09"/>
        </w:trPr>
        <w:tc>
          <w:tcPr>
            <w:tcW w:w="5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8"/>
                <w:szCs w:val="18"/>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3,869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520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firstLine="405"/>
        <w:spacing w:after="0" w:line="257" w:lineRule="auto"/>
        <w:rPr>
          <w:sz w:val="20"/>
          <w:szCs w:val="20"/>
          <w:color w:val="auto"/>
        </w:rPr>
      </w:pPr>
      <w:r>
        <w:rPr>
          <w:rFonts w:ascii="Arial" w:cs="Arial" w:eastAsia="Arial" w:hAnsi="Arial"/>
          <w:sz w:val="16"/>
          <w:szCs w:val="16"/>
          <w:color w:val="auto"/>
        </w:rPr>
        <w:t>There was a $2.9 million increase in the provision for income taxes for the three months ended September 30, 2026 compared to the three months ended September 30, 2025. The increase was primarily due to higher pre-tax income and decreased excess tax benefits from stock-based compensation for the three months ended September 30, 2026.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the Nine Months Ended September 30, 2026 and 2025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39"/>
        </w:trPr>
        <w:tc>
          <w:tcPr>
            <w:tcW w:w="5380" w:type="dxa"/>
            <w:vAlign w:val="bottom"/>
          </w:tcPr>
          <w:p>
            <w:pPr>
              <w:spacing w:after="0"/>
              <w:rPr>
                <w:sz w:val="24"/>
                <w:szCs w:val="24"/>
                <w:color w:val="auto"/>
              </w:rPr>
            </w:pPr>
          </w:p>
        </w:tc>
        <w:tc>
          <w:tcPr>
            <w:tcW w:w="2880" w:type="dxa"/>
            <w:vAlign w:val="bottom"/>
            <w:gridSpan w:val="6"/>
          </w:tcPr>
          <w:p>
            <w:pPr>
              <w:ind w:left="6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right"/>
              <w:ind w:right="1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8"/>
                <w:szCs w:val="18"/>
                <w:color w:val="auto"/>
              </w:rPr>
            </w:pPr>
          </w:p>
        </w:tc>
      </w:tr>
      <w:tr>
        <w:trPr>
          <w:trHeight w:val="217"/>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 by type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Transaction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203,986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204,263</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403,230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361,514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41,716</w:t>
            </w:r>
          </w:p>
        </w:tc>
        <w:tc>
          <w:tcPr>
            <w:tcW w:w="8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5380" w:type="dxa"/>
            <w:vAlign w:val="bottom"/>
          </w:tcPr>
          <w:p>
            <w:pPr>
              <w:ind w:left="36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607,216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565,777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41,439</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1"/>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405"/>
        <w:spacing w:after="0" w:line="275" w:lineRule="auto"/>
        <w:rPr>
          <w:sz w:val="20"/>
          <w:szCs w:val="20"/>
          <w:color w:val="auto"/>
        </w:rPr>
      </w:pPr>
      <w:r>
        <w:rPr>
          <w:rFonts w:ascii="Arial" w:cs="Arial" w:eastAsia="Arial" w:hAnsi="Arial"/>
          <w:sz w:val="16"/>
          <w:szCs w:val="16"/>
          <w:color w:val="auto"/>
        </w:rPr>
        <w:t>The increase in total revenue for the nine months ended September 30, 2026 compared to the nine months ended September 30, 2025 was primarily driven by an increase in subscription revenue. Subscription revenue was 66% and 64% of total revenue for the nine months ended September 30, 2026 and 2025, respectively, and transaction revenue was 34% and 36% of total revenue for the nine months ended September 30, 2026 and 2025, respectively.</w:t>
      </w:r>
    </w:p>
    <w:p>
      <w:pPr>
        <w:spacing w:after="0" w:line="56" w:lineRule="exact"/>
        <w:rPr>
          <w:sz w:val="20"/>
          <w:szCs w:val="20"/>
          <w:color w:val="auto"/>
        </w:rPr>
      </w:pPr>
    </w:p>
    <w:p>
      <w:pPr>
        <w:ind w:right="240" w:firstLine="405"/>
        <w:spacing w:after="0" w:line="286" w:lineRule="auto"/>
        <w:rPr>
          <w:sz w:val="20"/>
          <w:szCs w:val="20"/>
          <w:color w:val="auto"/>
        </w:rPr>
      </w:pPr>
      <w:r>
        <w:rPr>
          <w:rFonts w:ascii="Arial" w:cs="Arial" w:eastAsia="Arial" w:hAnsi="Arial"/>
          <w:sz w:val="16"/>
          <w:szCs w:val="16"/>
          <w:color w:val="auto"/>
        </w:rPr>
        <w:t>Transaction revenue was flat year-over-year for the nine months ended September 30, 2026 primarily due to an increase in revenue from consumer and IP-related offerings, offset by a decrease in revenue from business formations and related small business transactions.</w:t>
      </w:r>
    </w:p>
    <w:p>
      <w:pPr>
        <w:spacing w:after="0" w:line="61"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Subscription revenue increased 12% year-over-year for the nine months ended September 30, 2026 primarily due to a 28% increase in revenue from our legal advisory subscriptions from the bundling of these subscriptions into certain business formation offerings, and an increase in revenue from our registered agent and compliance subscriptions due to pricing initiatives. The increase in subscription revenue was partially offset by our prior discontinuation of new customer acquisition for our tax offering.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53"/>
        </w:trPr>
        <w:tc>
          <w:tcPr>
            <w:tcW w:w="5360" w:type="dxa"/>
            <w:vAlign w:val="bottom"/>
          </w:tcPr>
          <w:p>
            <w:pPr>
              <w:spacing w:after="0"/>
              <w:rPr>
                <w:sz w:val="24"/>
                <w:szCs w:val="24"/>
                <w:color w:val="auto"/>
              </w:rPr>
            </w:pPr>
          </w:p>
        </w:tc>
        <w:tc>
          <w:tcPr>
            <w:tcW w:w="2900" w:type="dxa"/>
            <w:vAlign w:val="bottom"/>
            <w:gridSpan w:val="6"/>
          </w:tcPr>
          <w:p>
            <w:pPr>
              <w:jc w:val="right"/>
              <w:ind w:right="16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0"/>
        </w:trPr>
        <w:tc>
          <w:tcPr>
            <w:tcW w:w="53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right"/>
              <w:ind w:right="1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8"/>
                <w:szCs w:val="18"/>
                <w:color w:val="auto"/>
              </w:rPr>
            </w:pPr>
          </w:p>
        </w:tc>
      </w:tr>
      <w:tr>
        <w:trPr>
          <w:trHeight w:val="269"/>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196,229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0" w:firstLine="405"/>
        <w:spacing w:after="0" w:line="271" w:lineRule="auto"/>
        <w:rPr>
          <w:sz w:val="20"/>
          <w:szCs w:val="20"/>
          <w:color w:val="auto"/>
        </w:rPr>
      </w:pPr>
      <w:r>
        <w:rPr>
          <w:rFonts w:ascii="Arial" w:cs="Arial" w:eastAsia="Arial" w:hAnsi="Arial"/>
          <w:sz w:val="16"/>
          <w:szCs w:val="16"/>
          <w:color w:val="auto"/>
        </w:rPr>
        <w:t>Cost of revenue for the nine months ended September 30, 2026 increased by $0.7 million compared to the nine months ended September 30, 2025, mainly due to a $5.4 million increase in filing fees and a $2.2 million increase in credit card fees. These increases were partially offset by a $3.1 million decrease in depreciation and amortization expense, a $2.5 million decrease in payroll and related benefits due to a decrease in average headcount and a $1.7 million decrease in third party fees for customer care.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Gross profit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575"/>
        </w:trPr>
        <w:tc>
          <w:tcPr>
            <w:tcW w:w="5360" w:type="dxa"/>
            <w:vAlign w:val="bottom"/>
          </w:tcPr>
          <w:p>
            <w:pPr>
              <w:spacing w:after="0"/>
              <w:rPr>
                <w:sz w:val="24"/>
                <w:szCs w:val="24"/>
                <w:color w:val="auto"/>
              </w:rPr>
            </w:pPr>
          </w:p>
        </w:tc>
        <w:tc>
          <w:tcPr>
            <w:tcW w:w="2900" w:type="dxa"/>
            <w:vAlign w:val="bottom"/>
            <w:gridSpan w:val="6"/>
          </w:tcPr>
          <w:p>
            <w:pPr>
              <w:jc w:val="right"/>
              <w:ind w:right="16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9"/>
        </w:trPr>
        <w:tc>
          <w:tcPr>
            <w:tcW w:w="53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right"/>
              <w:ind w:right="1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8"/>
                <w:szCs w:val="18"/>
                <w:color w:val="auto"/>
              </w:rPr>
            </w:pPr>
          </w:p>
        </w:tc>
      </w:tr>
      <w:tr>
        <w:trPr>
          <w:trHeight w:val="269"/>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369,548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40,698</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gross profit was driven by a $41.4 million increase in revenue partially offset by a $0.7 million increase in cost of revenue.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Sales and marketing</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53"/>
        </w:trPr>
        <w:tc>
          <w:tcPr>
            <w:tcW w:w="5380" w:type="dxa"/>
            <w:vAlign w:val="bottom"/>
          </w:tcPr>
          <w:p>
            <w:pPr>
              <w:spacing w:after="0"/>
              <w:rPr>
                <w:sz w:val="24"/>
                <w:szCs w:val="24"/>
                <w:color w:val="auto"/>
              </w:rPr>
            </w:pPr>
          </w:p>
        </w:tc>
        <w:tc>
          <w:tcPr>
            <w:tcW w:w="2880" w:type="dxa"/>
            <w:vAlign w:val="bottom"/>
            <w:gridSpan w:val="6"/>
          </w:tcPr>
          <w:p>
            <w:pPr>
              <w:ind w:left="6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right"/>
              <w:ind w:right="16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8"/>
                <w:szCs w:val="18"/>
                <w:color w:val="auto"/>
              </w:rPr>
            </w:pPr>
          </w:p>
        </w:tc>
      </w:tr>
      <w:tr>
        <w:trPr>
          <w:trHeight w:val="26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234,426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198,793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35,633</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Sales and marketing expenses for the nine months ended September 30, 2026 increased by $35.6 million compared to the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2025, primarily due to a $23.6 million increase in customer acquisition marketing spend. Customer acquisition marketing spend was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$158.8 million and $135.2 million for the nine months ended September 30, 2026 and 2025, respectively, reflecting changes in the mix of investments across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customer acquisition channels. Sales and marketing expenses also increased due to a $5.2 million increase in payroll and related benefits, reflecting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$7.2 million increase in salaries and payroll-related costs, primarily due to higher average headcount during most of the period and a $3.3 million increase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amortization and depreciation, partially offset by a $1.9 million decrease in stock-based compensation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Technology and development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1"/>
        </w:trPr>
        <w:tc>
          <w:tcPr>
            <w:tcW w:w="5340" w:type="dxa"/>
            <w:vAlign w:val="bottom"/>
          </w:tcPr>
          <w:p>
            <w:pPr>
              <w:spacing w:after="0"/>
              <w:rPr>
                <w:sz w:val="24"/>
                <w:szCs w:val="24"/>
                <w:color w:val="auto"/>
              </w:rPr>
            </w:pPr>
          </w:p>
        </w:tc>
        <w:tc>
          <w:tcPr>
            <w:tcW w:w="2880" w:type="dxa"/>
            <w:vAlign w:val="bottom"/>
            <w:gridSpan w:val="6"/>
          </w:tcPr>
          <w:p>
            <w:pPr>
              <w:ind w:left="6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0"/>
        </w:trPr>
        <w:tc>
          <w:tcPr>
            <w:tcW w:w="53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6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53,949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62,442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(8,493)</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firstLine="405"/>
        <w:spacing w:after="0" w:line="275" w:lineRule="auto"/>
        <w:rPr>
          <w:sz w:val="20"/>
          <w:szCs w:val="20"/>
          <w:color w:val="auto"/>
        </w:rPr>
      </w:pPr>
      <w:r>
        <w:rPr>
          <w:rFonts w:ascii="Arial" w:cs="Arial" w:eastAsia="Arial" w:hAnsi="Arial"/>
          <w:sz w:val="16"/>
          <w:szCs w:val="16"/>
          <w:color w:val="auto"/>
        </w:rPr>
        <w:t>Technology and development expenses for the nine months ended September 30, 2026 decreased by $8.5 million compared to the nine months ended September 30, 2025, primarily due to a $14.6 million decrease in payroll and related benefits, largely driven by a reduction in technology and development headcount. These decreases were partially offset by a $6.3 million decrease in capitalized software development costs.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4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1"/>
        </w:trPr>
        <w:tc>
          <w:tcPr>
            <w:tcW w:w="5340" w:type="dxa"/>
            <w:vAlign w:val="bottom"/>
          </w:tcPr>
          <w:p>
            <w:pPr>
              <w:spacing w:after="0"/>
              <w:rPr>
                <w:sz w:val="24"/>
                <w:szCs w:val="24"/>
                <w:color w:val="auto"/>
              </w:rPr>
            </w:pPr>
          </w:p>
        </w:tc>
        <w:tc>
          <w:tcPr>
            <w:tcW w:w="2880" w:type="dxa"/>
            <w:vAlign w:val="bottom"/>
            <w:gridSpan w:val="6"/>
          </w:tcPr>
          <w:p>
            <w:pPr>
              <w:ind w:left="6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0"/>
        </w:trPr>
        <w:tc>
          <w:tcPr>
            <w:tcW w:w="53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6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94,913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110,291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(15,378)</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General and administrative expenses for the nine months ended September 30, 2026 decreased by $15.4 million compared to the nine months ended September 30, 2025. The decrease was primarily due to a $19.8 million decrease in stock-based compensation expense driven by lower expense from PSUs, including PSUs with market conditions granted in prior periods, as well as a reduction in expense from RSUs. The decrease was also due to a $0.8 million reduction in consulting costs, primarily due to transaction-related costs incurred during the prior-year period. These decreases were partially offset by a $5.9 million increase in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restructuring costs, primarily related to the restructuring activity completed during the three months ended September 30, 2026.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Gain on sale of assets held for sale</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45"/>
        </w:trPr>
        <w:tc>
          <w:tcPr>
            <w:tcW w:w="5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10"/>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center"/>
              <w:ind w:right="6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64"/>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on sale of assets held for sale</w:t>
            </w: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14,337</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Gain on sale of assets held for sale for the nine months ended September 30, 2025 was $14.3 million due to the sale of our operational headquarters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20"/>
                <w:szCs w:val="20"/>
                <w:color w:val="auto"/>
              </w:rPr>
            </w:pPr>
            <w:r>
              <w:rPr>
                <w:rFonts w:ascii="Arial" w:cs="Arial" w:eastAsia="Arial" w:hAnsi="Arial"/>
                <w:sz w:val="16"/>
                <w:szCs w:val="16"/>
                <w:color w:val="auto"/>
              </w:rPr>
              <w:t>on March 31, 2025.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01"/>
        </w:trPr>
        <w:tc>
          <w:tcPr>
            <w:tcW w:w="5320" w:type="dxa"/>
            <w:vAlign w:val="bottom"/>
          </w:tcPr>
          <w:p>
            <w:pPr>
              <w:spacing w:after="0"/>
              <w:rPr>
                <w:sz w:val="20"/>
                <w:szCs w:val="20"/>
                <w:color w:val="auto"/>
              </w:rPr>
            </w:pPr>
            <w:r>
              <w:rPr>
                <w:rFonts w:ascii="Arial" w:cs="Arial" w:eastAsia="Arial" w:hAnsi="Arial"/>
                <w:sz w:val="16"/>
                <w:szCs w:val="16"/>
                <w:b w:val="1"/>
                <w:bCs w:val="1"/>
                <w:i w:val="1"/>
                <w:iCs w:val="1"/>
                <w:color w:val="auto"/>
              </w:rPr>
              <w:t>Interest expense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5"/>
        </w:trPr>
        <w:tc>
          <w:tcPr>
            <w:tcW w:w="5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Borders>
              <w:bottom w:val="single" w:sz="8" w:color="auto"/>
            </w:tcBorders>
            <w:gridSpan w:val="8"/>
          </w:tcPr>
          <w:p>
            <w:pPr>
              <w:ind w:left="60"/>
              <w:spacing w:after="0"/>
              <w:rPr>
                <w:sz w:val="20"/>
                <w:szCs w:val="20"/>
                <w:color w:val="auto"/>
              </w:rPr>
            </w:pPr>
            <w:r>
              <w:rPr>
                <w:rFonts w:ascii="Arial" w:cs="Arial" w:eastAsia="Arial" w:hAnsi="Arial"/>
                <w:sz w:val="16"/>
                <w:szCs w:val="16"/>
                <w:b w:val="1"/>
                <w:bCs w:val="1"/>
                <w:color w:val="auto"/>
              </w:rPr>
              <w:t>Nine Months Ended September 30,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09"/>
        </w:trPr>
        <w:tc>
          <w:tcPr>
            <w:tcW w:w="5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 change</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9"/>
          </w:tcPr>
          <w:p>
            <w:pPr>
              <w:jc w:val="center"/>
              <w:ind w:right="8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8"/>
                <w:szCs w:val="18"/>
                <w:color w:val="auto"/>
              </w:rPr>
            </w:pPr>
          </w:p>
        </w:tc>
      </w:tr>
      <w:tr>
        <w:trPr>
          <w:trHeight w:val="26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(879)</w:t>
            </w:r>
          </w:p>
        </w:tc>
        <w:tc>
          <w:tcPr>
            <w:tcW w:w="8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(499)</w:t>
            </w:r>
          </w:p>
        </w:tc>
        <w:tc>
          <w:tcPr>
            <w:tcW w:w="8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(380)</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0"/>
        </w:trPr>
        <w:tc>
          <w:tcPr>
            <w:tcW w:w="538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459"/>
        </w:trPr>
        <w:tc>
          <w:tcPr>
            <w:tcW w:w="11220" w:type="dxa"/>
            <w:vAlign w:val="bottom"/>
            <w:gridSpan w:val="18"/>
          </w:tcPr>
          <w:p>
            <w:pPr>
              <w:ind w:left="420"/>
              <w:spacing w:after="0"/>
              <w:rPr>
                <w:sz w:val="20"/>
                <w:szCs w:val="20"/>
                <w:color w:val="auto"/>
              </w:rPr>
            </w:pPr>
            <w:r>
              <w:rPr>
                <w:rFonts w:ascii="Arial" w:cs="Arial" w:eastAsia="Arial" w:hAnsi="Arial"/>
                <w:sz w:val="16"/>
                <w:szCs w:val="16"/>
                <w:color w:val="auto"/>
              </w:rPr>
              <w:t>The increase in Interest expense was primarily due to an increase in interest accrued in connection with certain sales tax matters during the nine</w:t>
            </w:r>
          </w:p>
        </w:tc>
      </w:tr>
      <w:tr>
        <w:trPr>
          <w:trHeight w:val="215"/>
        </w:trPr>
        <w:tc>
          <w:tcPr>
            <w:tcW w:w="5320" w:type="dxa"/>
            <w:vAlign w:val="bottom"/>
          </w:tcPr>
          <w:p>
            <w:pPr>
              <w:spacing w:after="0"/>
              <w:rPr>
                <w:sz w:val="20"/>
                <w:szCs w:val="20"/>
                <w:color w:val="auto"/>
              </w:rPr>
            </w:pPr>
            <w:r>
              <w:rPr>
                <w:rFonts w:ascii="Arial" w:cs="Arial" w:eastAsia="Arial" w:hAnsi="Arial"/>
                <w:sz w:val="16"/>
                <w:szCs w:val="16"/>
                <w:color w:val="auto"/>
              </w:rPr>
              <w:t>months ended September 30, 2026.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13"/>
        </w:trPr>
        <w:tc>
          <w:tcPr>
            <w:tcW w:w="5320" w:type="dxa"/>
            <w:vAlign w:val="bottom"/>
          </w:tcPr>
          <w:p>
            <w:pPr>
              <w:spacing w:after="0"/>
              <w:rPr>
                <w:sz w:val="20"/>
                <w:szCs w:val="20"/>
                <w:color w:val="auto"/>
              </w:rPr>
            </w:pPr>
            <w:r>
              <w:rPr>
                <w:rFonts w:ascii="Arial" w:cs="Arial" w:eastAsia="Arial" w:hAnsi="Arial"/>
                <w:sz w:val="16"/>
                <w:szCs w:val="16"/>
                <w:b w:val="1"/>
                <w:bCs w:val="1"/>
                <w:i w:val="1"/>
                <w:iCs w:val="1"/>
                <w:color w:val="auto"/>
              </w:rPr>
              <w:t>Interest income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1"/>
        </w:trPr>
        <w:tc>
          <w:tcPr>
            <w:tcW w:w="5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gridSpan w:val="8"/>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0"/>
        </w:trPr>
        <w:tc>
          <w:tcPr>
            <w:tcW w:w="53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gridSpan w:val="2"/>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9"/>
          </w:tcPr>
          <w:p>
            <w:pPr>
              <w:ind w:left="4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8"/>
                <w:szCs w:val="18"/>
                <w:color w:val="auto"/>
              </w:rPr>
            </w:pPr>
          </w:p>
        </w:tc>
      </w:tr>
      <w:tr>
        <w:trPr>
          <w:trHeight w:val="264"/>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4,702</w:t>
            </w:r>
          </w:p>
        </w:tc>
        <w:tc>
          <w:tcPr>
            <w:tcW w:w="6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5,691</w:t>
            </w:r>
          </w:p>
        </w:tc>
        <w:tc>
          <w:tcPr>
            <w:tcW w:w="6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60" w:firstLine="405"/>
        <w:spacing w:after="0" w:line="286" w:lineRule="auto"/>
        <w:rPr>
          <w:sz w:val="20"/>
          <w:szCs w:val="20"/>
          <w:color w:val="auto"/>
        </w:rPr>
      </w:pPr>
      <w:r>
        <w:rPr>
          <w:rFonts w:ascii="Arial" w:cs="Arial" w:eastAsia="Arial" w:hAnsi="Arial"/>
          <w:sz w:val="16"/>
          <w:szCs w:val="16"/>
          <w:color w:val="auto"/>
        </w:rPr>
        <w:t>The change in interest income was primarily due to lower dividend income earned on money market investments during the nine months ended September 30, 2026 compared to the prior-year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net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1"/>
        </w:trPr>
        <w:tc>
          <w:tcPr>
            <w:tcW w:w="5360" w:type="dxa"/>
            <w:vAlign w:val="bottom"/>
          </w:tcPr>
          <w:p>
            <w:pPr>
              <w:spacing w:after="0"/>
              <w:rPr>
                <w:sz w:val="24"/>
                <w:szCs w:val="24"/>
                <w:color w:val="auto"/>
              </w:rPr>
            </w:pPr>
          </w:p>
        </w:tc>
        <w:tc>
          <w:tcPr>
            <w:tcW w:w="2860" w:type="dxa"/>
            <w:vAlign w:val="bottom"/>
            <w:gridSpan w:val="6"/>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0"/>
        </w:trPr>
        <w:tc>
          <w:tcPr>
            <w:tcW w:w="53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5"/>
          </w:tcPr>
          <w:p>
            <w:pPr>
              <w:jc w:val="right"/>
              <w:ind w:right="14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69"/>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80" w:firstLine="405"/>
        <w:spacing w:after="0" w:line="286" w:lineRule="auto"/>
        <w:rPr>
          <w:sz w:val="20"/>
          <w:szCs w:val="20"/>
          <w:color w:val="auto"/>
        </w:rPr>
      </w:pPr>
      <w:r>
        <w:rPr>
          <w:rFonts w:ascii="Arial" w:cs="Arial" w:eastAsia="Arial" w:hAnsi="Arial"/>
          <w:sz w:val="16"/>
          <w:szCs w:val="16"/>
          <w:color w:val="auto"/>
        </w:rPr>
        <w:t>The change in other income, net, was primarily due to gains recognized in the prior-year period, including a $0.6 million gain from the sale of our investment in LegalVision Pty Ltd and a $0.3 million unrealized gain related to our investment in LawPath.</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00" w:type="dxa"/>
            <w:vAlign w:val="bottom"/>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9"/>
        </w:trPr>
        <w:tc>
          <w:tcPr>
            <w:tcW w:w="5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rPr>
              <w:t>Nine Months Ended September 30,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0"/>
        </w:trPr>
        <w:tc>
          <w:tcPr>
            <w:tcW w:w="5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8"/>
                <w:szCs w:val="18"/>
                <w:color w:val="auto"/>
              </w:rPr>
            </w:pPr>
          </w:p>
        </w:tc>
      </w:tr>
      <w:tr>
        <w:trPr>
          <w:trHeight w:val="26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16,480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9,078</w:t>
            </w:r>
          </w:p>
        </w:tc>
        <w:tc>
          <w:tcPr>
            <w:tcW w:w="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20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36" w:name="page37"/>
    <w:bookmarkEnd w:id="36"/>
    <w:p>
      <w:pPr>
        <w:ind w:right="100" w:firstLine="405"/>
        <w:spacing w:after="0" w:line="257" w:lineRule="auto"/>
        <w:rPr>
          <w:sz w:val="20"/>
          <w:szCs w:val="20"/>
          <w:color w:val="auto"/>
        </w:rPr>
      </w:pPr>
      <w:r>
        <w:rPr>
          <w:rFonts w:ascii="Arial" w:cs="Arial" w:eastAsia="Arial" w:hAnsi="Arial"/>
          <w:sz w:val="16"/>
          <w:szCs w:val="16"/>
          <w:color w:val="auto"/>
        </w:rPr>
        <w:t>There was a $7.4 million increase in the provision for income taxes for the nine months ended September 30, 2026 compared to the nine months ended September 30, 2025. The change was primarily due to higher pre-tax income and decreased excess tax benefits from stock-based compensation for the nine months ended September 30, 2026.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19" w:lineRule="exact"/>
        <w:rPr>
          <w:sz w:val="20"/>
          <w:szCs w:val="20"/>
          <w:color w:val="auto"/>
        </w:rPr>
      </w:pPr>
    </w:p>
    <w:p>
      <w:pPr>
        <w:ind w:right="40" w:firstLine="405"/>
        <w:spacing w:after="0" w:line="259" w:lineRule="auto"/>
        <w:rPr>
          <w:sz w:val="20"/>
          <w:szCs w:val="20"/>
          <w:color w:val="auto"/>
        </w:rPr>
      </w:pPr>
      <w:r>
        <w:rPr>
          <w:rFonts w:ascii="Arial" w:cs="Arial" w:eastAsia="Arial" w:hAnsi="Arial"/>
          <w:sz w:val="16"/>
          <w:szCs w:val="16"/>
          <w:color w:val="auto"/>
        </w:rPr>
        <w:t>We fund our operations and capital expenditures from cash flows from operating activities. Our primary requirements for liquidity and capital are to finance working capital, capital expenditures and general corporate purposes. As of September 30, 2026, our principal sources of liquidity were cash and cash equivalents of $181.7 million, which consisted of cash on deposit with banks and money market funds, of which approximately $4.7 million related to our foreign subsidiaries. Our cash and cash equivalents decreased by $21.4 million from December 31, 2025 to September 30, 2026, primarily as a result of cash used in financing activities, including repurchases of common stock, shares surrendered for settlement of minimum statutory tax withholding and the payment of deferred consideration for the Formation Nation acquisition, as well as capital expenditures partially offset by cash provided by operating activities.</w:t>
      </w:r>
    </w:p>
    <w:p>
      <w:pPr>
        <w:spacing w:after="0" w:line="280" w:lineRule="exact"/>
        <w:rPr>
          <w:sz w:val="20"/>
          <w:szCs w:val="20"/>
          <w:color w:val="auto"/>
        </w:rPr>
      </w:pPr>
    </w:p>
    <w:p>
      <w:pPr>
        <w:ind w:firstLine="405"/>
        <w:spacing w:after="0" w:line="275" w:lineRule="auto"/>
        <w:rPr>
          <w:sz w:val="20"/>
          <w:szCs w:val="20"/>
          <w:color w:val="auto"/>
        </w:rPr>
      </w:pPr>
      <w:r>
        <w:rPr>
          <w:rFonts w:ascii="Arial" w:cs="Arial" w:eastAsia="Arial" w:hAnsi="Arial"/>
          <w:sz w:val="16"/>
          <w:szCs w:val="16"/>
          <w:color w:val="auto"/>
        </w:rPr>
        <w:t>We currently anticipate that our available cash, cash equivalents and cash provided by operating activities will be sufficient to meet our operational cash needs for at least the next twelve months and in the foreseeable future. We have the ability to supplement our liquidity needs with borrowings under our Amended Revolving Facility.</w:t>
      </w:r>
    </w:p>
    <w:p>
      <w:pPr>
        <w:spacing w:after="0" w:line="56"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spacing w:after="0" w:line="78"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In October 2023, our board of directors approved a stock repurchase program authorizing repurchases of our common stock with no fixed expiration. In February 2026, our board of directors approved a $100.0 million increase in our stock repurchase program, bringing the aggregate amount authorized to $415.0 million. Approximately $65.8 million remained available for future repurchases under the stock repurchase program as of September 30, 2026. For additional information regarding our stock repurchase program, refer to Note 7 to our unaudited condensed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Revolving Facility</w:t>
      </w:r>
    </w:p>
    <w:p>
      <w:pPr>
        <w:spacing w:after="0" w:line="111" w:lineRule="exact"/>
        <w:rPr>
          <w:sz w:val="20"/>
          <w:szCs w:val="20"/>
          <w:color w:val="auto"/>
        </w:rPr>
      </w:pPr>
    </w:p>
    <w:p>
      <w:pPr>
        <w:ind w:right="140" w:firstLine="405"/>
        <w:spacing w:after="0" w:line="260" w:lineRule="auto"/>
        <w:rPr>
          <w:sz w:val="20"/>
          <w:szCs w:val="20"/>
          <w:color w:val="auto"/>
        </w:rPr>
      </w:pPr>
      <w:r>
        <w:rPr>
          <w:rFonts w:ascii="Arial" w:cs="Arial" w:eastAsia="Arial" w:hAnsi="Arial"/>
          <w:sz w:val="16"/>
          <w:szCs w:val="16"/>
          <w:color w:val="auto"/>
        </w:rPr>
        <w:t>We have entered into a $100.0 million amended and restated credit and guaranty agreement with JPMorgan Chase Bank, N.A., as the administrative agent, with a maturity date of July 14, 2030. We refer to the amended and restated credit and guaranty agreement, as amended from time to time, as the Amended Revolving Facility. The Amended Revolving Facility also provides for the issuance of up to $20.0 million of letters of credit as well as borrowings on same-day notice, referred to as swingline loans, in an amount of up to $10.0 million. As of September 30, 2026, we had no borrowings outstanding and $100.0 million was available for use under our Amended Revolving Facility.</w:t>
      </w:r>
    </w:p>
    <w:p>
      <w:pPr>
        <w:spacing w:after="0" w:line="83" w:lineRule="exact"/>
        <w:rPr>
          <w:sz w:val="20"/>
          <w:szCs w:val="20"/>
          <w:color w:val="auto"/>
        </w:rPr>
      </w:pPr>
    </w:p>
    <w:p>
      <w:pPr>
        <w:ind w:right="280" w:firstLine="405"/>
        <w:spacing w:after="0" w:line="260" w:lineRule="auto"/>
        <w:rPr>
          <w:sz w:val="20"/>
          <w:szCs w:val="20"/>
          <w:color w:val="auto"/>
        </w:rPr>
      </w:pPr>
      <w:r>
        <w:rPr>
          <w:rFonts w:ascii="Arial" w:cs="Arial" w:eastAsia="Arial" w:hAnsi="Arial"/>
          <w:sz w:val="16"/>
          <w:szCs w:val="16"/>
          <w:color w:val="auto"/>
        </w:rPr>
        <w:t>Subject to the satisfaction of certain criteria, we will be able to increase the Amended Revolving Facility by an amount equal to the sum of (i) the greater of $90.0 million and 75% of consolidated last twelve months cash earnings before interest expense, tax, depreciation and amortization (“LTM CEBITDA”) plus (ii) unused amounts under the general debt basket (i.e., an amount equal to the greater of $50.0 million and an equivalent percentage of consolidated LTM CEBITDA), plus (iii) an unlimited amount so long as we are in pro forma compliance with the Financial Covenant (as defined below), in each case, with the consent of the lenders participating in the increase.</w:t>
      </w:r>
    </w:p>
    <w:p>
      <w:pPr>
        <w:spacing w:after="0" w:line="83"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We are required to pay a commitment fee in respect of unutilized commitments under the Amended Revolving Facility. The commitment fee is, initially, 0.35% per annum. The commitment fee is subject to a reduction of 0.10% if the total net first lien leverage ratio does not exceed 3.50 to 1.00 and an additional reduction of 0.05% if the total net first lien leverage ratio does not exceed 1.00 to 1.00. We are also required to pay customary letter of credit fees and agency fees. U.S. dollar borrowings under the Amended Revolving Facility bear interest at a rate per annum equal to, at the borrower’s option, either (a) the Secured Overnight Financing Rate (“Term SOFR”) plus a margin ranging from 2.00% to 1.25% or (b) a margin ranging from 1.00% to 0.25% plus the highest of (i) the administrative agent’s prime rate, (ii) the Federal Funds rate plus 0.50% or (iii) one-month Term SOFR plus 1%. The interest rate margins under the Amended Revolving Facility are subject to</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37" w:name="page38"/>
    <w:bookmarkEnd w:id="37"/>
    <w:p>
      <w:pPr>
        <w:ind w:right="80"/>
        <w:spacing w:after="0" w:line="286" w:lineRule="auto"/>
        <w:rPr>
          <w:sz w:val="20"/>
          <w:szCs w:val="20"/>
          <w:color w:val="auto"/>
        </w:rPr>
      </w:pPr>
      <w:r>
        <w:rPr>
          <w:rFonts w:ascii="Arial" w:cs="Arial" w:eastAsia="Arial" w:hAnsi="Arial"/>
          <w:sz w:val="16"/>
          <w:szCs w:val="16"/>
          <w:color w:val="auto"/>
        </w:rPr>
        <w:t>one reduction of 0.25%, a second reduction of 0.25% and a further reduction of 0.25% each upon achieving total net first lien leverage ratios of 3.50 to 1.00, 2.50 to 1.00 and 1.00 to 1.00, respectively.</w:t>
      </w:r>
    </w:p>
    <w:p>
      <w:pPr>
        <w:spacing w:after="0" w:line="61" w:lineRule="exact"/>
        <w:rPr>
          <w:sz w:val="20"/>
          <w:szCs w:val="20"/>
          <w:color w:val="auto"/>
        </w:rPr>
      </w:pPr>
    </w:p>
    <w:p>
      <w:pPr>
        <w:ind w:right="120" w:firstLine="405"/>
        <w:spacing w:after="0" w:line="275" w:lineRule="auto"/>
        <w:rPr>
          <w:sz w:val="20"/>
          <w:szCs w:val="20"/>
          <w:color w:val="auto"/>
        </w:rPr>
      </w:pPr>
      <w:r>
        <w:rPr>
          <w:rFonts w:ascii="Arial" w:cs="Arial" w:eastAsia="Arial" w:hAnsi="Arial"/>
          <w:sz w:val="16"/>
          <w:szCs w:val="16"/>
          <w:color w:val="auto"/>
        </w:rPr>
        <w:t>We have the option to voluntarily repay outstanding loans at any time without premium or penalty, other than customary “breakage” costs with respect to SOFR loans. There is no scheduled amortization under the Amended Revolving Facility. The principal amount outstanding is due and payable in full at maturity on July 14, 2030.</w:t>
      </w:r>
    </w:p>
    <w:p>
      <w:pPr>
        <w:spacing w:after="0" w:line="56" w:lineRule="exact"/>
        <w:rPr>
          <w:sz w:val="20"/>
          <w:szCs w:val="20"/>
          <w:color w:val="auto"/>
        </w:rPr>
      </w:pPr>
    </w:p>
    <w:p>
      <w:pPr>
        <w:ind w:right="220" w:firstLine="405"/>
        <w:spacing w:after="0" w:line="275" w:lineRule="auto"/>
        <w:rPr>
          <w:sz w:val="20"/>
          <w:szCs w:val="20"/>
          <w:color w:val="auto"/>
        </w:rPr>
      </w:pPr>
      <w:r>
        <w:rPr>
          <w:rFonts w:ascii="Arial" w:cs="Arial" w:eastAsia="Arial" w:hAnsi="Arial"/>
          <w:sz w:val="16"/>
          <w:szCs w:val="16"/>
          <w:color w:val="auto"/>
        </w:rPr>
        <w:t>Obligations under the Amended Revolving Facility are guaranteed by our existing and future direct and indirect material wholly-owned domestic subsidiaries, subject to certain exceptions. The Amended Revolving Facility is secured by a first-priority security interest in substantially all of the assets of the borrower and the guarantors, subject to certain exceptions.</w:t>
      </w:r>
    </w:p>
    <w:p>
      <w:pPr>
        <w:spacing w:after="0" w:line="56" w:lineRule="exact"/>
        <w:rPr>
          <w:sz w:val="20"/>
          <w:szCs w:val="20"/>
          <w:color w:val="auto"/>
        </w:rPr>
      </w:pPr>
    </w:p>
    <w:p>
      <w:pPr>
        <w:ind w:right="60" w:firstLine="405"/>
        <w:spacing w:after="0" w:line="265" w:lineRule="auto"/>
        <w:rPr>
          <w:sz w:val="20"/>
          <w:szCs w:val="20"/>
          <w:color w:val="auto"/>
        </w:rPr>
      </w:pPr>
      <w:r>
        <w:rPr>
          <w:rFonts w:ascii="Arial" w:cs="Arial" w:eastAsia="Arial" w:hAnsi="Arial"/>
          <w:sz w:val="16"/>
          <w:szCs w:val="16"/>
          <w:color w:val="auto"/>
        </w:rPr>
        <w:t>The Amended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64" w:lineRule="exact"/>
        <w:rPr>
          <w:sz w:val="20"/>
          <w:szCs w:val="20"/>
          <w:color w:val="auto"/>
        </w:rPr>
      </w:pPr>
    </w:p>
    <w:p>
      <w:pPr>
        <w:jc w:val="both"/>
        <w:ind w:right="80" w:firstLine="405"/>
        <w:spacing w:after="0" w:line="275" w:lineRule="auto"/>
        <w:rPr>
          <w:sz w:val="20"/>
          <w:szCs w:val="20"/>
          <w:color w:val="auto"/>
        </w:rPr>
      </w:pPr>
      <w:r>
        <w:rPr>
          <w:rFonts w:ascii="Arial" w:cs="Arial" w:eastAsia="Arial" w:hAnsi="Arial"/>
          <w:sz w:val="16"/>
          <w:szCs w:val="16"/>
          <w:color w:val="auto"/>
        </w:rPr>
        <w:t>The Amended Revolving Facility requires compliance with a total net first lien leverage ratio not to exceed 4.50 to 1.00 (the “Financial Covenant”). The Financial Covenant will be tested at quarter-end only if the total principal amount of all revolving loans, swingline loans and drawn letters of credit that have not been reimbursed exceeds 35% of the total commitments under the Amended Revolving Facility on the last day of such fiscal quarter.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0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0"/>
        </w:trPr>
        <w:tc>
          <w:tcPr>
            <w:tcW w:w="8400" w:type="dxa"/>
            <w:vAlign w:val="bottom"/>
          </w:tcPr>
          <w:p>
            <w:pPr>
              <w:ind w:left="420"/>
              <w:spacing w:after="0"/>
              <w:rPr>
                <w:sz w:val="20"/>
                <w:szCs w:val="20"/>
                <w:color w:val="auto"/>
              </w:rPr>
            </w:pPr>
            <w:r>
              <w:rPr>
                <w:rFonts w:ascii="Arial" w:cs="Arial" w:eastAsia="Arial" w:hAnsi="Arial"/>
                <w:sz w:val="16"/>
                <w:szCs w:val="16"/>
                <w:color w:val="auto"/>
              </w:rPr>
              <w:t>The following table sets forth a summary of our cash flows for the periods indicated:</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8"/>
        </w:trPr>
        <w:tc>
          <w:tcPr>
            <w:tcW w:w="8400" w:type="dxa"/>
            <w:vAlign w:val="bottom"/>
          </w:tcPr>
          <w:p>
            <w:pPr>
              <w:spacing w:after="0"/>
              <w:rPr>
                <w:sz w:val="24"/>
                <w:szCs w:val="24"/>
                <w:color w:val="auto"/>
              </w:rPr>
            </w:pPr>
          </w:p>
        </w:tc>
        <w:tc>
          <w:tcPr>
            <w:tcW w:w="284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b w:val="1"/>
                <w:bCs w:val="1"/>
                <w:color w:val="auto"/>
              </w:rPr>
              <w:t>Nine Months Ended September 30,</w:t>
            </w:r>
          </w:p>
        </w:tc>
      </w:tr>
      <w:tr>
        <w:trPr>
          <w:trHeight w:val="216"/>
        </w:trPr>
        <w:tc>
          <w:tcPr>
            <w:tcW w:w="8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8"/>
        </w:trPr>
        <w:tc>
          <w:tcPr>
            <w:tcW w:w="8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Borders>
              <w:bottom w:val="single" w:sz="8" w:color="auto"/>
            </w:tcBorders>
          </w:tcPr>
          <w:p>
            <w:pPr>
              <w:spacing w:after="0"/>
              <w:rPr>
                <w:sz w:val="18"/>
                <w:szCs w:val="18"/>
                <w:color w:val="auto"/>
              </w:rPr>
            </w:pPr>
          </w:p>
        </w:tc>
      </w:tr>
      <w:tr>
        <w:trPr>
          <w:trHeight w:val="23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126,702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144,068</w:t>
            </w:r>
          </w:p>
        </w:tc>
      </w:tr>
      <w:tr>
        <w:trPr>
          <w:trHeight w:val="242"/>
        </w:trPr>
        <w:tc>
          <w:tcPr>
            <w:tcW w:w="84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(17,919)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(34,054)</w:t>
            </w:r>
          </w:p>
        </w:tc>
      </w:tr>
      <w:tr>
        <w:trPr>
          <w:trHeight w:val="244"/>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(130,060)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(15,031)</w:t>
            </w:r>
          </w:p>
        </w:tc>
      </w:tr>
      <w:tr>
        <w:trPr>
          <w:trHeight w:val="242"/>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63"/>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(decrease) increase in 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(21,398)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95,090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219"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Our largest source of operating cash is cash collections from our customers for our transaction products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income adjusted for certain non-cash items, including depreciation and amortization expense, stock-based compensation and gain on sale of assets held for sale, as well as the effect of changes in operating assets and liabilities.</w:t>
      </w:r>
    </w:p>
    <w:p>
      <w:pPr>
        <w:spacing w:after="0" w:line="64" w:lineRule="exact"/>
        <w:rPr>
          <w:sz w:val="20"/>
          <w:szCs w:val="20"/>
          <w:color w:val="auto"/>
        </w:rPr>
      </w:pPr>
    </w:p>
    <w:p>
      <w:pPr>
        <w:ind w:firstLine="405"/>
        <w:spacing w:after="0" w:line="260" w:lineRule="auto"/>
        <w:rPr>
          <w:sz w:val="20"/>
          <w:szCs w:val="20"/>
          <w:color w:val="auto"/>
        </w:rPr>
      </w:pPr>
      <w:r>
        <w:rPr>
          <w:rFonts w:ascii="Arial" w:cs="Arial" w:eastAsia="Arial" w:hAnsi="Arial"/>
          <w:sz w:val="16"/>
          <w:szCs w:val="16"/>
          <w:color w:val="auto"/>
        </w:rPr>
        <w:t>In the nine months ended September 30, 2026, cash provided by operating activities was $126.7 million resulting from net income of $14.3 million, adjusted for stock-based compensation and other non-cash expenses of $111.1 million and net cash flows provided by changes in operating assets and liabilities of $1.3 million. The $111.1 million of stock-based compensation and other non-cash expenses resulted primarily from $63.9 million in stock-based compensation expense, $33.3 million in depreciation and amortization expense, and $3.0 million in amortization of right-of-use assets. The $1.3 million of net cash flows provided by changes in operating assets and liabilities resulted primarily from a $16.1 million increase in deferred revenue resulting from advance billings for subscription services, which are predominantly billed in advance of our revenue recognition, and an $9.9 million increase in accounts payable, partially offset by a $15.1 million decrease in accrued expenses and other liabilities, and a $4.3 million increase in prepaid expenses and other 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19" w:lineRule="exact"/>
        <w:rPr>
          <w:sz w:val="20"/>
          <w:szCs w:val="20"/>
          <w:color w:val="auto"/>
        </w:rPr>
      </w:pPr>
    </w:p>
    <w:p>
      <w:pPr>
        <w:ind w:right="80" w:firstLine="405"/>
        <w:spacing w:after="0" w:line="271" w:lineRule="auto"/>
        <w:rPr>
          <w:sz w:val="20"/>
          <w:szCs w:val="20"/>
          <w:color w:val="auto"/>
        </w:rPr>
      </w:pPr>
      <w:r>
        <w:rPr>
          <w:rFonts w:ascii="Arial" w:cs="Arial" w:eastAsia="Arial" w:hAnsi="Arial"/>
          <w:sz w:val="16"/>
          <w:szCs w:val="16"/>
          <w:color w:val="auto"/>
        </w:rPr>
        <w:t>Our primary uses of cash in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w:t>
      </w:r>
    </w:p>
    <w:p>
      <w:pPr>
        <w:spacing w:after="0" w:line="60" w:lineRule="exact"/>
        <w:rPr>
          <w:sz w:val="20"/>
          <w:szCs w:val="20"/>
          <w:color w:val="auto"/>
        </w:rPr>
      </w:pPr>
    </w:p>
    <w:p>
      <w:pPr>
        <w:ind w:right="680" w:firstLine="405"/>
        <w:spacing w:after="0" w:line="286" w:lineRule="auto"/>
        <w:rPr>
          <w:sz w:val="20"/>
          <w:szCs w:val="20"/>
          <w:color w:val="auto"/>
        </w:rPr>
      </w:pPr>
      <w:r>
        <w:rPr>
          <w:rFonts w:ascii="Arial" w:cs="Arial" w:eastAsia="Arial" w:hAnsi="Arial"/>
          <w:sz w:val="16"/>
          <w:szCs w:val="16"/>
          <w:color w:val="auto"/>
        </w:rPr>
        <w:t>In the nine months ended September 30, 2026, net cash used in investing activities was $17.9 million comprised of purchases of property and equipment, including capitalization of internal-use software.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19" w:lineRule="exact"/>
        <w:rPr>
          <w:sz w:val="20"/>
          <w:szCs w:val="20"/>
          <w:color w:val="auto"/>
        </w:rPr>
      </w:pPr>
    </w:p>
    <w:p>
      <w:pPr>
        <w:ind w:right="140" w:firstLine="405"/>
        <w:spacing w:after="0" w:line="304" w:lineRule="auto"/>
        <w:rPr>
          <w:sz w:val="20"/>
          <w:szCs w:val="20"/>
          <w:color w:val="auto"/>
        </w:rPr>
      </w:pPr>
      <w:r>
        <w:rPr>
          <w:rFonts w:ascii="Arial" w:cs="Arial" w:eastAsia="Arial" w:hAnsi="Arial"/>
          <w:sz w:val="16"/>
          <w:szCs w:val="16"/>
          <w:color w:val="auto"/>
        </w:rPr>
        <w:t>Our primary uses of cash in financing activities are for repurchases of common stock and settlements of stock-based compensation awards. Net cash used in financing activities is primarily impacted by exercises of stock options by our employees and issuance of common stock.</w:t>
      </w:r>
    </w:p>
    <w:p>
      <w:pPr>
        <w:spacing w:after="0" w:line="33" w:lineRule="exact"/>
        <w:rPr>
          <w:sz w:val="20"/>
          <w:szCs w:val="20"/>
          <w:color w:val="auto"/>
        </w:rPr>
      </w:pPr>
    </w:p>
    <w:p>
      <w:pPr>
        <w:ind w:right="180" w:firstLine="405"/>
        <w:spacing w:after="0" w:line="275" w:lineRule="auto"/>
        <w:rPr>
          <w:sz w:val="20"/>
          <w:szCs w:val="20"/>
          <w:color w:val="auto"/>
        </w:rPr>
      </w:pPr>
      <w:r>
        <w:rPr>
          <w:rFonts w:ascii="Arial" w:cs="Arial" w:eastAsia="Arial" w:hAnsi="Arial"/>
          <w:sz w:val="16"/>
          <w:szCs w:val="16"/>
          <w:color w:val="auto"/>
        </w:rPr>
        <w:t>In the nine months ended September 30, 2026, net cash used in financing activities was $130.1 million, primarily resulting from $103.2 million in repurchases of common stock pursuant to our stock repurchase program, $12.5 million for the deferred consideration paid relating to the Formation Nation acquisition, and $14.8 million for settlement of minimum statutory tax withholding obligations related to equity awards.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Material Cash Requirements</w:t>
      </w:r>
    </w:p>
    <w:p>
      <w:pPr>
        <w:spacing w:after="0" w:line="219" w:lineRule="exact"/>
        <w:rPr>
          <w:sz w:val="20"/>
          <w:szCs w:val="20"/>
          <w:color w:val="auto"/>
        </w:rPr>
      </w:pPr>
    </w:p>
    <w:p>
      <w:pPr>
        <w:ind w:right="20" w:firstLine="405"/>
        <w:spacing w:after="0" w:line="304" w:lineRule="auto"/>
        <w:rPr>
          <w:sz w:val="20"/>
          <w:szCs w:val="20"/>
          <w:color w:val="auto"/>
        </w:rPr>
      </w:pPr>
      <w:r>
        <w:rPr>
          <w:rFonts w:ascii="Arial" w:cs="Arial" w:eastAsia="Arial" w:hAnsi="Arial"/>
          <w:sz w:val="16"/>
          <w:szCs w:val="16"/>
          <w:color w:val="auto"/>
        </w:rPr>
        <w:t>We believe our current cash and cash equivalents, as well as cash expected to be generated by future operating activities, will be sufficient to meet our material cash requirements for the next twelve months. Our material cash requirements include the below contractual and other obligations: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Commitments</w:t>
      </w:r>
    </w:p>
    <w:p>
      <w:pPr>
        <w:spacing w:after="0" w:line="125" w:lineRule="exact"/>
        <w:rPr>
          <w:sz w:val="20"/>
          <w:szCs w:val="20"/>
          <w:color w:val="auto"/>
        </w:rPr>
      </w:pPr>
    </w:p>
    <w:p>
      <w:pPr>
        <w:ind w:right="500" w:firstLine="405"/>
        <w:spacing w:after="0" w:line="286" w:lineRule="auto"/>
        <w:rPr>
          <w:sz w:val="20"/>
          <w:szCs w:val="20"/>
          <w:color w:val="auto"/>
        </w:rPr>
      </w:pPr>
      <w:r>
        <w:rPr>
          <w:rFonts w:ascii="Arial" w:cs="Arial" w:eastAsia="Arial" w:hAnsi="Arial"/>
          <w:sz w:val="16"/>
          <w:szCs w:val="16"/>
          <w:color w:val="auto"/>
        </w:rPr>
        <w:t>We have non-cancelable agreements with various vendors, which require us to pay $54.8 million over a three-year period, of which $31.7 million remains to be paid as of September 30, 2026.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Obligations</w:t>
      </w:r>
    </w:p>
    <w:p>
      <w:pPr>
        <w:spacing w:after="0" w:line="125" w:lineRule="exact"/>
        <w:rPr>
          <w:sz w:val="20"/>
          <w:szCs w:val="20"/>
          <w:color w:val="auto"/>
        </w:rPr>
      </w:pPr>
    </w:p>
    <w:p>
      <w:pPr>
        <w:ind w:right="160" w:firstLine="405"/>
        <w:spacing w:after="0" w:line="265" w:lineRule="auto"/>
        <w:rPr>
          <w:sz w:val="20"/>
          <w:szCs w:val="20"/>
          <w:color w:val="auto"/>
        </w:rPr>
      </w:pPr>
      <w:r>
        <w:rPr>
          <w:rFonts w:ascii="Arial" w:cs="Arial" w:eastAsia="Arial" w:hAnsi="Arial"/>
          <w:sz w:val="16"/>
          <w:szCs w:val="16"/>
          <w:color w:val="auto"/>
        </w:rPr>
        <w:t>At September 30, 2026, we had various non-cancelable operating leases for office space, which expire between May 2027 and June 2033. As of September 30, 2026, we had total minimum operating lease maturities of $15.8 million, $1.3 million of which mature within three months. See Note 8 of our consolidated financial statements included in our 2025 Annual Report on Form 10-K for additional information regarding our future operating lease payments.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To supplement our unaudited condensed consolidated financial statements, which are prepared and presented in accordance with U.S. generally</w:t>
      </w:r>
    </w:p>
    <w:p>
      <w:pPr>
        <w:spacing w:after="0" w:line="2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accepted accounting principles (“GAAP”), we use certain non-GAAP financial measures, as described below, to understand and evaluate our core operating performance. We believe that these non-GAAP financial measures provide investors with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also believe that these measures provide an additional tool for investors to use in comparing our core financial performance over multiple periods with other companies in our industry. These non-GAAP measures should not be considered in isolation of, or as a substitute or an alternative to, measures prepared and presented in accordance with GAAP.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219"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We define Adjusted EBITDA as net income adjusted to exclude interest expense, interest income, provision for income taxes, depreciation and amortization, other expense (income), net, stock-based compensation and certain non-recurring income and expenses from time to time. We define Adjusted EBITDA margin as Adjusted EBITDA as a percentage of revenue. We define net income margin as net income as a percentage of revenue based on our unaudited condensed consolidated financial statements.</w:t>
      </w:r>
    </w:p>
    <w:p>
      <w:pPr>
        <w:spacing w:after="0" w:line="65" w:lineRule="exact"/>
        <w:rPr>
          <w:sz w:val="20"/>
          <w:szCs w:val="20"/>
          <w:color w:val="auto"/>
        </w:rPr>
      </w:pPr>
    </w:p>
    <w:p>
      <w:pPr>
        <w:ind w:right="280" w:firstLine="405"/>
        <w:spacing w:after="0" w:line="275" w:lineRule="auto"/>
        <w:rPr>
          <w:sz w:val="20"/>
          <w:szCs w:val="20"/>
          <w:color w:val="auto"/>
        </w:rPr>
      </w:pPr>
      <w:r>
        <w:rPr>
          <w:rFonts w:ascii="Arial" w:cs="Arial" w:eastAsia="Arial" w:hAnsi="Arial"/>
          <w:sz w:val="16"/>
          <w:szCs w:val="16"/>
          <w:color w:val="auto"/>
        </w:rPr>
        <w:t>Adjusted EBITDA is one of the primary performance measures used by our management and our board of directors to understand and evaluate our financial performance and operating trends, including period-to-period comparisons, preparing and approving our annual budget and operational performance. In assessing our performance, we exclude certain expenses that we believe are not comparable period over period or that we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39" w:name="page40"/>
    <w:bookmarkEnd w:id="39"/>
    <w:p>
      <w:pPr>
        <w:ind w:right="140"/>
        <w:spacing w:after="0" w:line="286" w:lineRule="auto"/>
        <w:rPr>
          <w:sz w:val="20"/>
          <w:szCs w:val="20"/>
          <w:color w:val="auto"/>
        </w:rPr>
      </w:pPr>
      <w:r>
        <w:rPr>
          <w:rFonts w:ascii="Arial" w:cs="Arial" w:eastAsia="Arial" w:hAnsi="Arial"/>
          <w:sz w:val="16"/>
          <w:szCs w:val="16"/>
          <w:color w:val="auto"/>
        </w:rPr>
        <w:t>believe are not indicative of our underlying operating performance. There are a number of limitations related to the use of Adjusted EBITDA rather than net income, which include that Adjusted EBITDA:</w:t>
      </w:r>
    </w:p>
    <w:p>
      <w:pPr>
        <w:spacing w:after="0" w:line="61" w:lineRule="exact"/>
        <w:rPr>
          <w:sz w:val="20"/>
          <w:szCs w:val="20"/>
          <w:color w:val="auto"/>
        </w:rPr>
      </w:pPr>
    </w:p>
    <w:p>
      <w:pPr>
        <w:ind w:left="800" w:hanging="306"/>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may be calculated differently by other companies in our industry, limiting its usefulness as a comparative measure;</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does not reflect our capital expenditures, future requirements for capital expenditures or contractual commitments;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depreciation and amortization and, although these are non-cash expenses, the assets being depreciated may be replaced in the future;</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does not reflect changes in, or cash requirements for, our working capital needs;</w:t>
      </w:r>
    </w:p>
    <w:p>
      <w:pPr>
        <w:spacing w:after="0" w:line="113" w:lineRule="exact"/>
        <w:rPr>
          <w:rFonts w:ascii="Arial" w:cs="Arial" w:eastAsia="Arial" w:hAnsi="Arial"/>
          <w:sz w:val="16"/>
          <w:szCs w:val="16"/>
          <w:color w:val="auto"/>
        </w:rPr>
      </w:pPr>
    </w:p>
    <w:p>
      <w:pPr>
        <w:ind w:left="820" w:right="200" w:hanging="326"/>
        <w:spacing w:after="0" w:line="304" w:lineRule="auto"/>
        <w:tabs>
          <w:tab w:leader="none" w:pos="7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stock-based compensation expense, which has been, and will continue to be, a significant recurring expense for our business and an important part of our compensation strategy; and</w:t>
      </w:r>
    </w:p>
    <w:p>
      <w:pPr>
        <w:spacing w:after="0" w:line="33" w:lineRule="exact"/>
        <w:rPr>
          <w:rFonts w:ascii="Arial" w:cs="Arial" w:eastAsia="Arial" w:hAnsi="Arial"/>
          <w:sz w:val="16"/>
          <w:szCs w:val="16"/>
          <w:color w:val="auto"/>
        </w:rPr>
      </w:pPr>
    </w:p>
    <w:p>
      <w:pPr>
        <w:ind w:left="820" w:right="60" w:hanging="326"/>
        <w:spacing w:after="0" w:line="304" w:lineRule="auto"/>
        <w:tabs>
          <w:tab w:leader="none" w:pos="7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does not reflect certain expenses that we do not consider representative of our underlying operating performance, but that reduce cash available to us.</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a reconciliation of net income to Adjusted EBITDA for each of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8"/>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income to Adjusted EBITDA</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8,061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4,509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14,348</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9,370</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879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(2,139)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(4,702)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(5,691)</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16,480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9,078</w:t>
            </w:r>
          </w:p>
        </w:tc>
        <w:tc>
          <w:tcPr>
            <w:tcW w:w="0" w:type="dxa"/>
            <w:vAlign w:val="bottom"/>
          </w:tcPr>
          <w:p>
            <w:pPr>
              <w:spacing w:after="0"/>
              <w:rPr>
                <w:sz w:val="1"/>
                <w:szCs w:val="1"/>
                <w:color w:val="auto"/>
              </w:rPr>
            </w:pPr>
          </w:p>
        </w:tc>
      </w:tr>
      <w:tr>
        <w:trPr>
          <w:trHeight w:val="242"/>
        </w:trPr>
        <w:tc>
          <w:tcPr>
            <w:tcW w:w="49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10,872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11,373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33,283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33,118</w:t>
            </w:r>
          </w:p>
        </w:tc>
        <w:tc>
          <w:tcPr>
            <w:tcW w:w="0" w:type="dxa"/>
            <w:vAlign w:val="bottom"/>
          </w:tcPr>
          <w:p>
            <w:pPr>
              <w:spacing w:after="0"/>
              <w:rPr>
                <w:sz w:val="1"/>
                <w:szCs w:val="1"/>
                <w:color w:val="auto"/>
              </w:rPr>
            </w:pPr>
          </w:p>
        </w:tc>
      </w:tr>
      <w:tr>
        <w:trPr>
          <w:trHeight w:val="244"/>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42"/>
        </w:trPr>
        <w:tc>
          <w:tcPr>
            <w:tcW w:w="49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18,999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28,369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63,909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88,763</w:t>
            </w:r>
          </w:p>
        </w:tc>
        <w:tc>
          <w:tcPr>
            <w:tcW w:w="0" w:type="dxa"/>
            <w:vAlign w:val="bottom"/>
          </w:tcPr>
          <w:p>
            <w:pPr>
              <w:spacing w:after="0"/>
              <w:rPr>
                <w:sz w:val="1"/>
                <w:szCs w:val="1"/>
                <w:color w:val="auto"/>
              </w:rPr>
            </w:pPr>
          </w:p>
        </w:tc>
      </w:tr>
      <w:tr>
        <w:trPr>
          <w:trHeight w:val="244"/>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Transaction-related expenses</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1,467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1,543</w:t>
            </w:r>
          </w:p>
        </w:tc>
        <w:tc>
          <w:tcPr>
            <w:tcW w:w="0" w:type="dxa"/>
            <w:vAlign w:val="bottom"/>
          </w:tcPr>
          <w:p>
            <w:pPr>
              <w:spacing w:after="0"/>
              <w:rPr>
                <w:sz w:val="1"/>
                <w:szCs w:val="1"/>
                <w:color w:val="auto"/>
              </w:rPr>
            </w:pP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Gain on sale of assets held for sale</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(14,337)</w:t>
            </w:r>
          </w:p>
        </w:tc>
        <w:tc>
          <w:tcPr>
            <w:tcW w:w="0" w:type="dxa"/>
            <w:vAlign w:val="bottom"/>
          </w:tcPr>
          <w:p>
            <w:pPr>
              <w:spacing w:after="0"/>
              <w:rPr>
                <w:sz w:val="1"/>
                <w:szCs w:val="1"/>
                <w:color w:val="auto"/>
              </w:rPr>
            </w:pPr>
          </w:p>
        </w:tc>
      </w:tr>
      <w:tr>
        <w:trPr>
          <w:trHeight w:val="28"/>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r>
              <w:rPr>
                <w:rFonts w:ascii="Arial" w:cs="Arial" w:eastAsia="Arial" w:hAnsi="Arial"/>
                <w:sz w:val="21"/>
                <w:szCs w:val="21"/>
                <w:color w:val="auto"/>
                <w:vertAlign w:val="superscript"/>
              </w:rPr>
              <w:t>(2)</w:t>
            </w:r>
          </w:p>
        </w:tc>
        <w:tc>
          <w:tcPr>
            <w:tcW w:w="1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5,767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6,788</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08"/>
        </w:trPr>
        <w:tc>
          <w:tcPr>
            <w:tcW w:w="494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50,045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46,323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132,405</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122,300</w:t>
            </w:r>
          </w:p>
        </w:tc>
        <w:tc>
          <w:tcPr>
            <w:tcW w:w="0" w:type="dxa"/>
            <w:vAlign w:val="bottom"/>
          </w:tcPr>
          <w:p>
            <w:pPr>
              <w:spacing w:after="0"/>
              <w:rPr>
                <w:sz w:val="1"/>
                <w:szCs w:val="1"/>
                <w:color w:val="auto"/>
              </w:rPr>
            </w:pPr>
          </w:p>
        </w:tc>
      </w:tr>
      <w:tr>
        <w:trPr>
          <w:trHeight w:val="28"/>
        </w:trPr>
        <w:tc>
          <w:tcPr>
            <w:tcW w:w="4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margin</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Adjusted EBITDA margin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8"/>
        </w:trPr>
        <w:tc>
          <w:tcPr>
            <w:tcW w:w="4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hanging="332"/>
        <w:spacing w:after="0" w:line="286" w:lineRule="auto"/>
        <w:tabs>
          <w:tab w:leader="none" w:pos="4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2025, transaction-related expenses are primarily related to our acquisition of Formation Nation. For 2026, transaction-related expenses are related to the evaluation and pursuit of strategic transactions.</w:t>
      </w:r>
    </w:p>
    <w:p>
      <w:pPr>
        <w:spacing w:after="0" w:line="61" w:lineRule="exact"/>
        <w:rPr>
          <w:rFonts w:ascii="Arial" w:cs="Arial" w:eastAsia="Arial" w:hAnsi="Arial"/>
          <w:sz w:val="16"/>
          <w:szCs w:val="16"/>
          <w:color w:val="auto"/>
        </w:rPr>
      </w:pPr>
    </w:p>
    <w:p>
      <w:pPr>
        <w:ind w:left="440" w:hanging="432"/>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2026 and 2025, restructuring costs are related to the reduction of our global headcount.</w:t>
      </w:r>
    </w:p>
    <w:p>
      <w:pPr>
        <w:spacing w:after="0" w:line="221" w:lineRule="exact"/>
        <w:rPr>
          <w:sz w:val="20"/>
          <w:szCs w:val="20"/>
          <w:color w:val="auto"/>
        </w:rPr>
      </w:pPr>
    </w:p>
    <w:p>
      <w:pPr>
        <w:ind w:right="100" w:firstLine="405"/>
        <w:spacing w:after="0" w:line="275" w:lineRule="auto"/>
        <w:rPr>
          <w:sz w:val="20"/>
          <w:szCs w:val="20"/>
          <w:color w:val="auto"/>
        </w:rPr>
      </w:pPr>
      <w:r>
        <w:rPr>
          <w:rFonts w:ascii="Arial" w:cs="Arial" w:eastAsia="Arial" w:hAnsi="Arial"/>
          <w:sz w:val="16"/>
          <w:szCs w:val="16"/>
          <w:color w:val="auto"/>
        </w:rPr>
        <w:t>Adjusted EBITDA increased from $46.3 million for the three months ended September 30, 2025 to $50.0 million for the three months ended September 30, 2026. The increase of $3.7 million was primarily driven by a $5.0 million increase in revenue and a $3.5 million decrease in cost of revenue, excluding non-cash items, partially offset by a $4.7 million increase in operating expenses, excluding non-cash and non-recurring items.</w:t>
      </w:r>
    </w:p>
    <w:p>
      <w:pPr>
        <w:spacing w:after="0" w:line="164" w:lineRule="exact"/>
        <w:rPr>
          <w:sz w:val="20"/>
          <w:szCs w:val="20"/>
          <w:color w:val="auto"/>
        </w:rPr>
      </w:pPr>
    </w:p>
    <w:p>
      <w:pPr>
        <w:ind w:right="100" w:firstLine="405"/>
        <w:spacing w:after="0" w:line="275" w:lineRule="auto"/>
        <w:rPr>
          <w:sz w:val="20"/>
          <w:szCs w:val="20"/>
          <w:color w:val="auto"/>
        </w:rPr>
      </w:pPr>
      <w:r>
        <w:rPr>
          <w:rFonts w:ascii="Arial" w:cs="Arial" w:eastAsia="Arial" w:hAnsi="Arial"/>
          <w:sz w:val="16"/>
          <w:szCs w:val="16"/>
          <w:color w:val="auto"/>
        </w:rPr>
        <w:t>Adjusted EBITDA increased from $122.3 million for the nine months ended September 30, 2025 to $132.4 million for the nine months ended September 30, 2026. The increase of $10.1 million was primarily driven by a $41.4 million increase in revenue, partially offset by a $27.1 million increase in operating expenses, excluding non-cash and non-recurring items, and a $4.3 million increase in cost of revenue, excluding non-cash items.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i w:val="1"/>
          <w:iCs w:val="1"/>
          <w:color w:val="auto"/>
        </w:rPr>
        <w:t>Free cash flow</w:t>
      </w:r>
    </w:p>
    <w:p>
      <w:pPr>
        <w:spacing w:after="0" w:line="219"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Free cash flow is a liquidity measure used by management in evaluating the cash generated by our operations after purchases of property and equipment including capitalized internal-use software. We believe free cash flow provides useful information to management and investors about the amount of cash generated by our business that can be used for strategic opportunities, including investing in our business and strengthening our balance sheet, once our business needs and obligations are met.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a reconciliation of net cash provided by operating activities, the most directly comparable GAAP measure, to free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Cash Provided by Operating Activities to Free Cash Flow</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40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126,702</w:t>
            </w:r>
          </w:p>
        </w:tc>
        <w:tc>
          <w:tcPr>
            <w:tcW w:w="100" w:type="dxa"/>
            <w:vAlign w:val="bottom"/>
          </w:tcPr>
          <w:p>
            <w:pPr>
              <w:spacing w:after="0"/>
              <w:rPr>
                <w:sz w:val="21"/>
                <w:szCs w:val="21"/>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144,068</w:t>
            </w: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(17,919)</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(24,144)</w:t>
            </w:r>
          </w:p>
        </w:tc>
        <w:tc>
          <w:tcPr>
            <w:tcW w:w="0" w:type="dxa"/>
            <w:vAlign w:val="bottom"/>
          </w:tcPr>
          <w:p>
            <w:pPr>
              <w:spacing w:after="0"/>
              <w:rPr>
                <w:sz w:val="1"/>
                <w:szCs w:val="1"/>
                <w:color w:val="auto"/>
              </w:rPr>
            </w:pPr>
          </w:p>
        </w:tc>
      </w:tr>
      <w:tr>
        <w:trPr>
          <w:trHeight w:val="209"/>
        </w:trPr>
        <w:tc>
          <w:tcPr>
            <w:tcW w:w="8400" w:type="dxa"/>
            <w:vAlign w:val="bottom"/>
            <w:vMerge w:val="restart"/>
          </w:tcPr>
          <w:p>
            <w:pPr>
              <w:ind w:left="360"/>
              <w:spacing w:after="0"/>
              <w:rPr>
                <w:sz w:val="20"/>
                <w:szCs w:val="20"/>
                <w:color w:val="auto"/>
              </w:rPr>
            </w:pPr>
            <w:r>
              <w:rPr>
                <w:rFonts w:ascii="Arial" w:cs="Arial" w:eastAsia="Arial" w:hAnsi="Arial"/>
                <w:sz w:val="16"/>
                <w:szCs w:val="16"/>
                <w:color w:val="auto"/>
              </w:rPr>
              <w:t>Free cash flow</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108,783</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119,924</w:t>
            </w:r>
          </w:p>
        </w:tc>
        <w:tc>
          <w:tcPr>
            <w:tcW w:w="0" w:type="dxa"/>
            <w:vAlign w:val="bottom"/>
          </w:tcPr>
          <w:p>
            <w:pPr>
              <w:spacing w:after="0"/>
              <w:rPr>
                <w:sz w:val="1"/>
                <w:szCs w:val="1"/>
                <w:color w:val="auto"/>
              </w:rPr>
            </w:pPr>
          </w:p>
        </w:tc>
      </w:tr>
      <w:tr>
        <w:trPr>
          <w:trHeight w:val="28"/>
        </w:trPr>
        <w:tc>
          <w:tcPr>
            <w:tcW w:w="8400" w:type="dxa"/>
            <w:vAlign w:val="bottom"/>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40" w:firstLine="405"/>
        <w:spacing w:after="0" w:line="247" w:lineRule="auto"/>
        <w:rPr>
          <w:sz w:val="20"/>
          <w:szCs w:val="20"/>
          <w:color w:val="auto"/>
        </w:rPr>
      </w:pPr>
      <w:r>
        <w:rPr>
          <w:rFonts w:ascii="Arial" w:cs="Arial" w:eastAsia="Arial" w:hAnsi="Arial"/>
          <w:sz w:val="16"/>
          <w:szCs w:val="16"/>
          <w:color w:val="auto"/>
        </w:rPr>
        <w:t>We experienced a decrease in our free cash flow from $119.9 million for the nine months ended September 30, 2025 to $108.8 million for the nine months ended September 30, 2026. The decrease was primarily due to a $17.4 million decrease in net cash provided by operating activities. Free cash flow was partially offset by a $6.2 million decrease in capital expenditures for the purchase of property and equipment, including capitalized internal-use software. The decrease in net cash provided by operating activities primarily reflected an $18.5 million unfavorable change in operating assets and liabilities and $3.9 million decrease in non-cash adjustments, partially offset by a $5.0 million increase in net income.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235" w:lineRule="exact"/>
        <w:rPr>
          <w:sz w:val="20"/>
          <w:szCs w:val="20"/>
          <w:color w:val="auto"/>
        </w:rPr>
      </w:pPr>
    </w:p>
    <w:p>
      <w:pPr>
        <w:ind w:right="280" w:firstLine="405"/>
        <w:spacing w:after="0" w:line="275" w:lineRule="auto"/>
        <w:rPr>
          <w:sz w:val="20"/>
          <w:szCs w:val="20"/>
          <w:color w:val="auto"/>
        </w:rPr>
      </w:pPr>
      <w:r>
        <w:rPr>
          <w:rFonts w:ascii="Arial" w:cs="Arial" w:eastAsia="Arial" w:hAnsi="Arial"/>
          <w:sz w:val="16"/>
          <w:szCs w:val="16"/>
          <w:color w:val="auto"/>
        </w:rPr>
        <w:t>During the three and nine months ended September 30, 2026, there were no significant changes to our critical accounting estimates compared with those described under the heading “</w:t>
      </w:r>
      <w:r>
        <w:rPr>
          <w:rFonts w:ascii="Arial" w:cs="Arial" w:eastAsia="Arial" w:hAnsi="Arial"/>
          <w:sz w:val="16"/>
          <w:szCs w:val="16"/>
          <w:i w:val="1"/>
          <w:iCs w:val="1"/>
          <w:color w:val="auto"/>
        </w:rPr>
        <w:t>Management’s Discussion and Analysis of Financial Condition and Results of Operations—Critical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Estimates</w:t>
      </w:r>
      <w:r>
        <w:rPr>
          <w:rFonts w:ascii="Arial" w:cs="Arial" w:eastAsia="Arial" w:hAnsi="Arial"/>
          <w:sz w:val="16"/>
          <w:szCs w:val="16"/>
          <w:color w:val="auto"/>
        </w:rPr>
        <w:t>” in our 2025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21"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Refer to Note 2 to our unaudited condensed consolidated financial statements appearing elsewhere in this Quarterly Report on Form 10-Q for further information on certain accounting standards adopted in the period ended September 30, 2026 and recent accounting announcements that have not yet been required to be implemented and may be applicable to our future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operations both within the U.S. and, to a lesser extent, in the U.K., and we are exposed to market risks in the ordinary course of our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These risks include primarily interest rate fluctuations and foreign currency exchange risks, and to a lesser extent, inflation risk.</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fluctuation risk</w:t>
      </w:r>
    </w:p>
    <w:p>
      <w:pPr>
        <w:spacing w:after="0" w:line="111" w:lineRule="exact"/>
        <w:rPr>
          <w:sz w:val="20"/>
          <w:szCs w:val="20"/>
          <w:color w:val="auto"/>
        </w:rPr>
      </w:pPr>
    </w:p>
    <w:p>
      <w:pPr>
        <w:ind w:right="40" w:firstLine="405"/>
        <w:spacing w:after="0" w:line="275" w:lineRule="auto"/>
        <w:rPr>
          <w:sz w:val="20"/>
          <w:szCs w:val="20"/>
          <w:color w:val="auto"/>
        </w:rPr>
      </w:pPr>
      <w:r>
        <w:rPr>
          <w:rFonts w:ascii="Arial" w:cs="Arial" w:eastAsia="Arial" w:hAnsi="Arial"/>
          <w:sz w:val="16"/>
          <w:szCs w:val="16"/>
          <w:color w:val="auto"/>
        </w:rPr>
        <w:t>As of September 30, 2026 and December 31, 2025, we had cash and cash equivalents of $181.7 million and $203.1 million, respectively, which consisted of cash on deposit with banks and short-term highly-liquid money market funds. Interest-earning instruments carry a degree of interest rate risk. To date, fluctuations in interest income have not been significant.</w:t>
      </w:r>
    </w:p>
    <w:p>
      <w:pPr>
        <w:spacing w:after="0" w:line="56" w:lineRule="exact"/>
        <w:rPr>
          <w:sz w:val="20"/>
          <w:szCs w:val="20"/>
          <w:color w:val="auto"/>
        </w:rPr>
      </w:pPr>
    </w:p>
    <w:p>
      <w:pPr>
        <w:jc w:val="both"/>
        <w:ind w:right="240" w:firstLine="405"/>
        <w:spacing w:after="0" w:line="275" w:lineRule="auto"/>
        <w:rPr>
          <w:sz w:val="20"/>
          <w:szCs w:val="20"/>
          <w:color w:val="auto"/>
        </w:rPr>
      </w:pPr>
      <w:r>
        <w:rPr>
          <w:rFonts w:ascii="Arial" w:cs="Arial" w:eastAsia="Arial" w:hAnsi="Arial"/>
          <w:sz w:val="16"/>
          <w:szCs w:val="16"/>
          <w:color w:val="auto"/>
        </w:rPr>
        <w:t>We had no outstanding debt subject to interest rate risk as of September 30, 2026 and December 31, 2025 and, as a result, we do not expect to be exposed to fluctuations in interest rates for the foreseeable future. However, we would be subject to fluctuation in interest rates if we draw down under our Amended Revolving Facility, including issuance of any letters of credit.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219"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We have foreign currency risks related to our revenue, expenses, and intercompany balances denominated in currencies other than our functional currency, the U.S. Dollar, principally the British Pound Sterling. The volatility of exchange rates depends on many factors that we cannot forecast with reliable accuracy. We have experienced and will continue to experience fluctuations in our net income as a result of transaction gains and losses related to translating certain cash balances, trade accounts receivable and payable balances and intercompany loans that are denominated in currencies other than the U.S. Dollar. We recognized foreign currency loss of $0.3 million during the nine months ended September 30, 2026. A 10% adverse change in foreign exchange rates on foreign-denominated accounts, including intercompany balances, for the nine months ended September 30, 2026 would have been immaterial.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233" w:lineRule="exact"/>
        <w:rPr>
          <w:sz w:val="20"/>
          <w:szCs w:val="20"/>
          <w:color w:val="auto"/>
        </w:rPr>
      </w:pPr>
    </w:p>
    <w:p>
      <w:pPr>
        <w:ind w:right="360" w:firstLine="405"/>
        <w:spacing w:after="0" w:line="260" w:lineRule="auto"/>
        <w:rPr>
          <w:sz w:val="20"/>
          <w:szCs w:val="20"/>
          <w:color w:val="auto"/>
        </w:rPr>
      </w:pPr>
      <w:r>
        <w:rPr>
          <w:rFonts w:ascii="Arial" w:cs="Arial" w:eastAsia="Arial" w:hAnsi="Arial"/>
          <w:sz w:val="16"/>
          <w:szCs w:val="16"/>
          <w:color w:val="auto"/>
        </w:rPr>
        <w:t>To date, we do not believe that inflation has had a material effect on our business, financial condition, results of operations or future prospects. However, if our costs were to become subject to significant inflationary pressures, we may not be able to fully offset such higher costs through price increases. Our inability or failure to do so could harm our business, financial condition, results of operations and future prospects. Further, if current inflationary pressures are sustained for a prolonged period of time, the success of existing small businesses and the formation of new small businesses could continue to be adversely impacted, which could harm our business, results of operations, financial condition or future prospects.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3" w:lineRule="exact"/>
        <w:rPr>
          <w:sz w:val="20"/>
          <w:szCs w:val="20"/>
          <w:color w:val="auto"/>
        </w:rPr>
      </w:pPr>
    </w:p>
    <w:p>
      <w:pPr>
        <w:jc w:val="both"/>
        <w:ind w:right="100" w:firstLine="405"/>
        <w:spacing w:after="0" w:line="271"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principal executive officer and principal financial officer concluded that, as of September 30, 2026, our disclosure controls and procedures were effective at the reasonable assurance level.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jc w:val="both"/>
        <w:ind w:right="20" w:firstLine="405"/>
        <w:spacing w:after="0" w:line="275"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Rules 13a-15(d) and 15d-15(d) of the Exchange Act during the three months ended September 30, 2026 that have materially affected, or are reasonably likely to materially affect, our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effectiveness of controls and procedures</w:t>
      </w:r>
    </w:p>
    <w:p>
      <w:pPr>
        <w:spacing w:after="0" w:line="113"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3" w:right="37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Part 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35" w:lineRule="exact"/>
        <w:rPr>
          <w:sz w:val="20"/>
          <w:szCs w:val="20"/>
          <w:color w:val="auto"/>
        </w:rPr>
      </w:pPr>
    </w:p>
    <w:p>
      <w:pPr>
        <w:ind w:right="40" w:firstLine="405"/>
        <w:spacing w:after="0" w:line="275" w:lineRule="auto"/>
        <w:rPr>
          <w:sz w:val="20"/>
          <w:szCs w:val="20"/>
          <w:color w:val="auto"/>
        </w:rPr>
      </w:pPr>
      <w:r>
        <w:rPr>
          <w:rFonts w:ascii="Arial" w:cs="Arial" w:eastAsia="Arial" w:hAnsi="Arial"/>
          <w:sz w:val="16"/>
          <w:szCs w:val="16"/>
          <w:color w:val="auto"/>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21" w:lineRule="exact"/>
        <w:rPr>
          <w:sz w:val="20"/>
          <w:szCs w:val="20"/>
          <w:color w:val="auto"/>
        </w:rPr>
      </w:pPr>
    </w:p>
    <w:p>
      <w:pPr>
        <w:ind w:right="60" w:firstLine="405"/>
        <w:spacing w:after="0" w:line="262" w:lineRule="auto"/>
        <w:rPr>
          <w:sz w:val="20"/>
          <w:szCs w:val="20"/>
          <w:color w:val="auto"/>
        </w:rPr>
      </w:pPr>
      <w:r>
        <w:rPr>
          <w:rFonts w:ascii="Arial" w:cs="Arial" w:eastAsia="Arial" w:hAnsi="Arial"/>
          <w:sz w:val="16"/>
          <w:szCs w:val="16"/>
          <w:color w:val="auto"/>
        </w:rPr>
        <w:t>Our business involves significant risks, and the material factors that make an investment in us risky or speculative are described below. You should carefully consider the risks and uncertainties described below, together with all of the other information in this Quarterly Report on Form 10-Q, including our unaudited condensed consolidated financial statements and related notes thereto. The risks and uncertainties described below are not the only ones we face. Additional risks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Business and Industry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primarily depends on business formations</w:t>
      </w:r>
    </w:p>
    <w:p>
      <w:pPr>
        <w:spacing w:after="0" w:line="233" w:lineRule="exact"/>
        <w:rPr>
          <w:sz w:val="20"/>
          <w:szCs w:val="20"/>
          <w:color w:val="auto"/>
        </w:rPr>
      </w:pPr>
    </w:p>
    <w:p>
      <w:pPr>
        <w:ind w:firstLine="405"/>
        <w:spacing w:after="0" w:line="255" w:lineRule="auto"/>
        <w:rPr>
          <w:sz w:val="20"/>
          <w:szCs w:val="20"/>
          <w:color w:val="auto"/>
        </w:rPr>
      </w:pPr>
      <w:r>
        <w:rPr>
          <w:rFonts w:ascii="Arial" w:cs="Arial" w:eastAsia="Arial" w:hAnsi="Arial"/>
          <w:sz w:val="16"/>
          <w:szCs w:val="16"/>
          <w:color w:val="auto"/>
        </w:rPr>
        <w:t>A significant portion of our transaction revenue is generated by providing business formation services to our customers. The number of business formations on our platform is subject to unpredictable declines or fluctuations as a result of a number of factors, many of which are out of our control, including an overall decline in the number of U.S. business formations, economic slowdowns or downturns, public health events, increased competition, regulatory obstacles, changes in law (including changes in tax laws and regulations), inflation, tariffs, interest rates, government assistance, increased compliance or operating costs (including wage and benefit pressures) and customer dissatisfaction. In addition, emerging technologies, including generative AI and AI-powered platforms, are changing how customers discover and engage with our services. These technologies have reduced and may continue to reduce organic traffic to our platform by enabling customers to obtain information or complete certain formation-related tasks without using our services. As a result, our traditional customer acquisition channels may continue to become less effective. We are diversifying our customer acquisition channels and expanding our go-to-market strategy, including through strategic partnerships and collaborations with third parties, including AI platforms. However, these efforts are evolving, may not be successful, and may not offset potential declines in our traditional channels. Further, the U.S. continues to experience significant political events that cast uncertainty on global financial and economic markets. Actions taken by the current Presidential administration have had and may continue to have a negative impact on the U.S. economy and the number of U.S. business formations. Declines in the overall number of U.S. business formations or the number of business formations on our platform have adversely affected, and may in the future adversely affect, our business, results of operations, financial condition or future prospects. To the extent the growth rate of overall U.S. business formations declines, these impacts can be expected to intensify.</w:t>
      </w:r>
    </w:p>
    <w:p>
      <w:pPr>
        <w:spacing w:after="0" w:line="397"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Our business depends substantially on our customers expanding their use of our platform, including our transactional customers converting into subscribers and our subscribers renewing their subscriptions with us</w:t>
      </w:r>
    </w:p>
    <w:p>
      <w:pPr>
        <w:spacing w:after="0" w:line="155" w:lineRule="exact"/>
        <w:rPr>
          <w:sz w:val="20"/>
          <w:szCs w:val="20"/>
          <w:color w:val="auto"/>
        </w:rPr>
      </w:pPr>
    </w:p>
    <w:p>
      <w:pPr>
        <w:ind w:right="80" w:firstLine="405"/>
        <w:spacing w:after="0" w:line="256" w:lineRule="auto"/>
        <w:rPr>
          <w:sz w:val="20"/>
          <w:szCs w:val="20"/>
          <w:color w:val="auto"/>
        </w:rPr>
      </w:pPr>
      <w:r>
        <w:rPr>
          <w:rFonts w:ascii="Arial" w:cs="Arial" w:eastAsia="Arial" w:hAnsi="Arial"/>
          <w:sz w:val="16"/>
          <w:szCs w:val="16"/>
          <w:color w:val="auto"/>
        </w:rPr>
        <w:t>For the past few years, a significant amount of our revenue has been derived from our subscriptions for small businesses and individuals. In 2025 and the nine months ended September 30, 2026, approximately 65% and 66%, respectively, of our revenue came from subscriptions. Subscriptions have primarily originated from transactional customers who opted to become subscribers at the time of formation. For us to maintain or improve our operating results, including our revenue growth rate, it is important that we convert transactional customers into subscribers, retain our existing subscribers and that our existing subscribers expand their use of our platform. However, subscriptions may be terminated at any time, and the rate at which we retain our subscribers may decline or fluctuate as a result of a number of factors, including subscribers’ satisfaction or dissatisfaction with our platform, the effectiveness of our customer support services, the quality and perceived quality of the services we provide, our pricing and the pricing of competing products or services, the lifecycle of our customers’ businesses and their evolving needs, the effects of global economic conditions, regulatory changes and reductions in subscribers’ discretionary income and spending levels. As a result, we cannot accurately predict subscription renewal rates or the number of existing or new customers that will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43" w:name="page44"/>
    <w:bookmarkEnd w:id="43"/>
    <w:p>
      <w:pPr>
        <w:ind w:right="40"/>
        <w:spacing w:after="0" w:line="265" w:lineRule="auto"/>
        <w:rPr>
          <w:sz w:val="20"/>
          <w:szCs w:val="20"/>
          <w:color w:val="auto"/>
        </w:rPr>
      </w:pPr>
      <w:r>
        <w:rPr>
          <w:rFonts w:ascii="Arial" w:cs="Arial" w:eastAsia="Arial" w:hAnsi="Arial"/>
          <w:sz w:val="16"/>
          <w:szCs w:val="16"/>
          <w:color w:val="auto"/>
        </w:rPr>
        <w:t>subscribe to our services, including whether customers will continue to subscribe at the same rate as they have historically. During 2025, we experienced a deceleration in our subscription revenue growth rate. If our subscription revenue growth rate does not continue to improve, our business, results of operations, financial condition and future prospects would be adversely affected. If the growth of our subscription business, including our subscription revenue growth rate, falls below the expectations of the public market, securities analysts or investors, the price of our common stock could also be harmed.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quarterly results of operations may fluctuate significantly</w:t>
      </w:r>
    </w:p>
    <w:p>
      <w:pPr>
        <w:spacing w:after="0" w:line="219" w:lineRule="exact"/>
        <w:rPr>
          <w:sz w:val="20"/>
          <w:szCs w:val="20"/>
          <w:color w:val="auto"/>
        </w:rPr>
      </w:pPr>
    </w:p>
    <w:p>
      <w:pPr>
        <w:ind w:right="400" w:firstLine="405"/>
        <w:spacing w:after="0" w:line="286" w:lineRule="auto"/>
        <w:rPr>
          <w:sz w:val="20"/>
          <w:szCs w:val="20"/>
          <w:color w:val="auto"/>
        </w:rPr>
      </w:pPr>
      <w:r>
        <w:rPr>
          <w:rFonts w:ascii="Arial" w:cs="Arial" w:eastAsia="Arial" w:hAnsi="Arial"/>
          <w:sz w:val="16"/>
          <w:szCs w:val="16"/>
          <w:color w:val="auto"/>
        </w:rPr>
        <w:t>Our revenue and results of operations have historically varied from period to period, and we expect that they will continue to do so as a result of a number of factors, many of which are outside of our control, including, but not limited to the risks and uncertainties discussed herein and the following:</w:t>
      </w:r>
    </w:p>
    <w:p>
      <w:pPr>
        <w:spacing w:after="0" w:line="61" w:lineRule="exact"/>
        <w:rPr>
          <w:sz w:val="20"/>
          <w:szCs w:val="20"/>
          <w:color w:val="auto"/>
        </w:rPr>
      </w:pPr>
    </w:p>
    <w:p>
      <w:pPr>
        <w:ind w:left="720" w:hanging="297"/>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number of business formations and the rate of failure of small businesses;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level of demand for our services;</w:t>
      </w:r>
    </w:p>
    <w:p>
      <w:pPr>
        <w:spacing w:after="0" w:line="126" w:lineRule="exact"/>
        <w:rPr>
          <w:rFonts w:ascii="Arial" w:cs="Arial" w:eastAsia="Arial" w:hAnsi="Arial"/>
          <w:sz w:val="16"/>
          <w:szCs w:val="16"/>
          <w:color w:val="auto"/>
        </w:rPr>
      </w:pPr>
    </w:p>
    <w:p>
      <w:pPr>
        <w:ind w:left="740" w:right="720" w:hanging="317"/>
        <w:spacing w:after="0" w:line="286" w:lineRule="auto"/>
        <w:tabs>
          <w:tab w:leader="none" w:pos="7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attract new customers and retain existing customers, including the rate of renewal of subscriptions by, and extent of sales of additional subscriptions to, existing customers;</w:t>
      </w:r>
    </w:p>
    <w:p>
      <w:pPr>
        <w:spacing w:after="0" w:line="47" w:lineRule="exact"/>
        <w:rPr>
          <w:rFonts w:ascii="Arial" w:cs="Arial" w:eastAsia="Arial" w:hAnsi="Arial"/>
          <w:sz w:val="16"/>
          <w:szCs w:val="16"/>
          <w:color w:val="auto"/>
        </w:rPr>
      </w:pPr>
    </w:p>
    <w:p>
      <w:pPr>
        <w:ind w:left="720" w:hanging="297"/>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size, timing and terms of our subscription agreements with existing and new customers;</w:t>
      </w:r>
    </w:p>
    <w:p>
      <w:pPr>
        <w:spacing w:after="0" w:line="126" w:lineRule="exact"/>
        <w:rPr>
          <w:rFonts w:ascii="Arial" w:cs="Arial" w:eastAsia="Arial" w:hAnsi="Arial"/>
          <w:sz w:val="16"/>
          <w:szCs w:val="16"/>
          <w:color w:val="auto"/>
        </w:rPr>
      </w:pPr>
    </w:p>
    <w:p>
      <w:pPr>
        <w:ind w:left="740" w:right="240" w:hanging="317"/>
        <w:spacing w:after="0" w:line="286" w:lineRule="auto"/>
        <w:tabs>
          <w:tab w:leader="none" w:pos="7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to our product offerings, including any new or discontinued products, pricing changes, the bundling of certain product offerings and our testing of new product line-ups;</w:t>
      </w:r>
    </w:p>
    <w:p>
      <w:pPr>
        <w:spacing w:after="0" w:line="47" w:lineRule="exact"/>
        <w:rPr>
          <w:rFonts w:ascii="Arial" w:cs="Arial" w:eastAsia="Arial" w:hAnsi="Arial"/>
          <w:sz w:val="16"/>
          <w:szCs w:val="16"/>
          <w:color w:val="auto"/>
        </w:rPr>
      </w:pPr>
    </w:p>
    <w:p>
      <w:pPr>
        <w:ind w:left="720" w:hanging="297"/>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mix of subscriptions and transactional products sold during a period;</w:t>
      </w:r>
    </w:p>
    <w:p>
      <w:pPr>
        <w:spacing w:after="0" w:line="126" w:lineRule="exact"/>
        <w:rPr>
          <w:rFonts w:ascii="Arial" w:cs="Arial" w:eastAsia="Arial" w:hAnsi="Arial"/>
          <w:sz w:val="16"/>
          <w:szCs w:val="16"/>
          <w:color w:val="auto"/>
        </w:rPr>
      </w:pPr>
    </w:p>
    <w:p>
      <w:pPr>
        <w:ind w:left="740" w:right="180" w:hanging="317"/>
        <w:spacing w:after="0" w:line="286" w:lineRule="auto"/>
        <w:tabs>
          <w:tab w:leader="none" w:pos="7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introduction of new products and product enhancements by existing competitors or new entrants into our markets, and changes in pricing for solutions offered by us or our competitors;</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seasonal variations, including those related to orders placed, sales and marketing and other activities;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stock-based compensation;</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application of new or changing financial accounting standards or practices;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increase, retain and incentivize the strategic partners that market and sell our platform;</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control costs, including our operating expenses;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governmental or other regulations affecting our business;</w:t>
      </w:r>
    </w:p>
    <w:p>
      <w:pPr>
        <w:spacing w:after="0" w:line="113" w:lineRule="exact"/>
        <w:rPr>
          <w:rFonts w:ascii="Arial" w:cs="Arial" w:eastAsia="Arial" w:hAnsi="Arial"/>
          <w:sz w:val="16"/>
          <w:szCs w:val="16"/>
          <w:color w:val="auto"/>
        </w:rPr>
      </w:pPr>
    </w:p>
    <w:p>
      <w:pPr>
        <w:ind w:left="740" w:right="320" w:hanging="317"/>
        <w:spacing w:after="0" w:line="286" w:lineRule="auto"/>
        <w:tabs>
          <w:tab w:leader="none" w:pos="7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to government agency staffing and other practices and the functionality of their websites, which may cause delay or disruptions in our business, including the processing of business formations or EINs;</w:t>
      </w:r>
    </w:p>
    <w:p>
      <w:pPr>
        <w:spacing w:after="0" w:line="61" w:lineRule="exact"/>
        <w:rPr>
          <w:rFonts w:ascii="Arial" w:cs="Arial" w:eastAsia="Arial" w:hAnsi="Arial"/>
          <w:sz w:val="16"/>
          <w:szCs w:val="16"/>
          <w:color w:val="auto"/>
        </w:rPr>
      </w:pPr>
    </w:p>
    <w:p>
      <w:pPr>
        <w:ind w:left="740" w:right="420" w:hanging="317"/>
        <w:spacing w:after="0" w:line="286" w:lineRule="auto"/>
        <w:tabs>
          <w:tab w:leader="none" w:pos="7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adverse global macroeconomic and market conditions or uncertainty with respect thereto, including economic conditions specifically affecting industries in which our customers operate; and</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geopolitical events and conditions, both domestically and internationally.</w:t>
      </w:r>
    </w:p>
    <w:p>
      <w:pPr>
        <w:spacing w:after="0" w:line="11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6"/>
          <w:szCs w:val="16"/>
          <w:color w:val="auto"/>
        </w:rPr>
        <w:t>Fluctuations in our quarterly operating results may be particularly pronounced in the current global macroeconomic environment, including due to uncertainty caused by recessionary fears, inflation, tariffs and interest rates and their respective impacts on consumer spending patterns, the success of existing small businesses and the formation of new small businesses. In addition, fluctuations in our quarterly operating results may cause those results to fall below our financial guidance or other projections, or the expectations of analysts or investors, which could cause the price of our common stock to decline. Fluctuations in our operating results could also cause a number of other problems. For example, analysts or investors may change their models for valuing our common stock, we could experience short-term liquidity issues, our ability to retain or attract key personnel may diminish, and other unanticipated issues may arise.</w:t>
      </w:r>
    </w:p>
    <w:p>
      <w:pPr>
        <w:spacing w:after="0" w:line="82"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Our quarterly operating results may vary in the future and period-to-period comparisons of our operating results may not be meaningful. You should not rely on the results of any given quarter as an indication of future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and we may not be able to maintain profitability</w:t>
      </w:r>
    </w:p>
    <w:p>
      <w:pPr>
        <w:spacing w:after="0" w:line="233" w:lineRule="exact"/>
        <w:rPr>
          <w:sz w:val="20"/>
          <w:szCs w:val="20"/>
          <w:color w:val="auto"/>
        </w:rPr>
      </w:pPr>
    </w:p>
    <w:p>
      <w:pPr>
        <w:ind w:right="280" w:firstLine="405"/>
        <w:spacing w:after="0" w:line="286" w:lineRule="auto"/>
        <w:rPr>
          <w:sz w:val="20"/>
          <w:szCs w:val="20"/>
          <w:color w:val="auto"/>
        </w:rPr>
      </w:pPr>
      <w:r>
        <w:rPr>
          <w:rFonts w:ascii="Arial" w:cs="Arial" w:eastAsia="Arial" w:hAnsi="Arial"/>
          <w:sz w:val="16"/>
          <w:szCs w:val="16"/>
          <w:color w:val="auto"/>
        </w:rPr>
        <w:t>Since inception, we have incurred an accumulated deficit and may incur net losses in the foreseeable future. As of September 30, 2026, we had an accumulated deficit of $1,224.5 million.</w:t>
      </w:r>
    </w:p>
    <w:p>
      <w:pPr>
        <w:spacing w:after="0" w:line="61" w:lineRule="exact"/>
        <w:rPr>
          <w:sz w:val="20"/>
          <w:szCs w:val="20"/>
          <w:color w:val="auto"/>
        </w:rPr>
      </w:pPr>
    </w:p>
    <w:p>
      <w:pPr>
        <w:jc w:val="both"/>
        <w:ind w:right="380" w:firstLine="405"/>
        <w:spacing w:after="0" w:line="266" w:lineRule="auto"/>
        <w:rPr>
          <w:sz w:val="20"/>
          <w:szCs w:val="20"/>
          <w:color w:val="auto"/>
        </w:rPr>
      </w:pPr>
      <w:r>
        <w:rPr>
          <w:rFonts w:ascii="Arial" w:cs="Arial" w:eastAsia="Arial" w:hAnsi="Arial"/>
          <w:sz w:val="16"/>
          <w:szCs w:val="16"/>
          <w:color w:val="auto"/>
        </w:rPr>
        <w:t>We will need to generate and sustain increased revenue levels in future periods to maintain or increase our level of profitability. If our revenue and gross profits do not grow at a greater rate than our operating expenses, we will not be able to maintain or increase profitability and our business may be harmed. We may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44" w:name="page45"/>
    <w:bookmarkEnd w:id="44"/>
    <w:p>
      <w:pPr>
        <w:ind w:right="60"/>
        <w:spacing w:after="0" w:line="265" w:lineRule="auto"/>
        <w:rPr>
          <w:sz w:val="20"/>
          <w:szCs w:val="20"/>
          <w:color w:val="auto"/>
        </w:rPr>
      </w:pPr>
      <w:r>
        <w:rPr>
          <w:rFonts w:ascii="Arial" w:cs="Arial" w:eastAsia="Arial" w:hAnsi="Arial"/>
          <w:sz w:val="16"/>
          <w:szCs w:val="16"/>
          <w:color w:val="auto"/>
        </w:rPr>
        <w:t>incur significant losses in the future for a number of reasons, including due to the risks and uncertainties described herein.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product offerings, market our current and planned products, or continue our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If we fail to provide high-quality products and services that meet our customers’ expectations, we may not be able to attract and retain customers</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order to increase revenue and maintain profitability, we must attract new customers and retain existing customers. The quality and value of our</w:t>
      </w:r>
    </w:p>
    <w:p>
      <w:pPr>
        <w:spacing w:after="0" w:line="21"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services, customer care and customer experience, as well as the quality and accuracy of the services provided by the independent attorneys who participate in our networks, are critical to the success of our business and our ability to attract and retain customers. The failure or perceived failure of our customer support and fulfillment services and/or these independent attorneys to satisfy customer expectations could impede our ability to attract and retain customers.</w:t>
      </w:r>
    </w:p>
    <w:p>
      <w:pPr>
        <w:spacing w:after="0" w:line="79" w:lineRule="exact"/>
        <w:rPr>
          <w:sz w:val="20"/>
          <w:szCs w:val="20"/>
          <w:color w:val="auto"/>
        </w:rPr>
      </w:pPr>
    </w:p>
    <w:p>
      <w:pPr>
        <w:ind w:right="60" w:firstLine="405"/>
        <w:spacing w:after="0" w:line="258" w:lineRule="auto"/>
        <w:rPr>
          <w:sz w:val="20"/>
          <w:szCs w:val="20"/>
          <w:color w:val="auto"/>
        </w:rPr>
      </w:pPr>
      <w:r>
        <w:rPr>
          <w:rFonts w:ascii="Arial" w:cs="Arial" w:eastAsia="Arial" w:hAnsi="Arial"/>
          <w:sz w:val="16"/>
          <w:szCs w:val="16"/>
          <w:color w:val="auto"/>
        </w:rPr>
        <w:t>In addition, we intend to continue to add new products and services and enhance our existing products and services, both of which will require us to devote significant resources before we know whether such products or services will be successful. For instance, in late 2025 we launched new business manager offerings for the DIFM management of business compliance requirements. The success of any new products or services or enhancements to existing products or services depends on several factors, including timely completion, competitive pricing, adequate quality testing, introduction, integration with existing products and services, and market awareness and acceptance. We have in the past invested resources and introduced new products and services that have failed to produce the customer interest or results that we expected. We may fail to attract new customers or lose existing customers if current or future development efforts or services fail to meet customer expectations on a timely basis if at all. If we are unable to continue offering innovative solutions or if new or enhanced solutions fail to engage our customers, we may be unable to attract additional customers or retain our current customers, which may adversely affect our business, results of operations, financial condition or future prospects.</w:t>
      </w:r>
    </w:p>
    <w:p>
      <w:pPr>
        <w:spacing w:after="0" w:line="179" w:lineRule="exact"/>
        <w:rPr>
          <w:sz w:val="20"/>
          <w:szCs w:val="20"/>
          <w:color w:val="auto"/>
        </w:rPr>
      </w:pPr>
    </w:p>
    <w:p>
      <w:pPr>
        <w:ind w:right="520"/>
        <w:spacing w:after="0" w:line="294" w:lineRule="auto"/>
        <w:rPr>
          <w:sz w:val="20"/>
          <w:szCs w:val="20"/>
          <w:color w:val="auto"/>
        </w:rPr>
      </w:pPr>
      <w:r>
        <w:rPr>
          <w:rFonts w:ascii="Arial" w:cs="Arial" w:eastAsia="Arial" w:hAnsi="Arial"/>
          <w:sz w:val="16"/>
          <w:szCs w:val="16"/>
          <w:b w:val="1"/>
          <w:bCs w:val="1"/>
          <w:i w:val="1"/>
          <w:iCs w:val="1"/>
          <w:color w:val="auto"/>
        </w:rPr>
        <w:t>If we do not continue to innovate and provide a platform that is useful to our customers, we may not remain competitive, and our results of operations could suffer</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Our success depends on our ability to provide innovative features that make our platform useful for existing and prospective customers. We have</w:t>
      </w:r>
    </w:p>
    <w:p>
      <w:pPr>
        <w:spacing w:after="0" w:line="2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invested and intend to continue to invest resources in technology and development to continue improving the simplicity and effectiveness of our platform. As AI_powered tools become more prevalent, potential customers may use these tools as alternatives to some of the services we provide. We must continue to integrate AI into our services in a differentiated manner in order to attract new customers. There is no assurance that our past or future investments in any changes or developments to our platform will provide us with the benefits we expect.</w:t>
      </w:r>
    </w:p>
    <w:p>
      <w:pPr>
        <w:spacing w:after="0" w:line="84" w:lineRule="exact"/>
        <w:rPr>
          <w:sz w:val="20"/>
          <w:szCs w:val="20"/>
          <w:color w:val="auto"/>
        </w:rPr>
      </w:pPr>
    </w:p>
    <w:p>
      <w:pPr>
        <w:ind w:right="20" w:firstLine="405"/>
        <w:spacing w:after="0" w:line="257" w:lineRule="auto"/>
        <w:rPr>
          <w:sz w:val="20"/>
          <w:szCs w:val="20"/>
          <w:color w:val="auto"/>
        </w:rPr>
      </w:pPr>
      <w:r>
        <w:rPr>
          <w:rFonts w:ascii="Arial" w:cs="Arial" w:eastAsia="Arial" w:hAnsi="Arial"/>
          <w:sz w:val="16"/>
          <w:szCs w:val="16"/>
          <w:color w:val="auto"/>
        </w:rPr>
        <w:t>In addition, because our platform is available over the internet and on mobile networks, we need to regularly modify and enhance our platform to keep pace with changes in internet-related hardware, software, communications and database technologies and standards. We expect the number of people who access our platform through mobile devices, including smartphones and handheld tablets or computers, to increase. If we are not able to provide customers with the experience, solutions and functionality they want on mobile devices, we may not be able to attract or retain customers or convert our website traffic into customers and our business may be harmed. If we are unable to respond to these rapid technological developments and changes in a timely and cost-effective manner, our platform may become less marketable, less competitive or obsolete, and our business, results of operations, financial condition and future prospects would be harmed. If new technologies emerge that can deliver competitive services at lower prices, more efficiently, more conveniently or more securely than LegalZoom,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current or future infrastructure platforms and technologies could reduce the demand for our platform and harm our results of operations.</w:t>
      </w:r>
    </w:p>
    <w:p>
      <w:pPr>
        <w:spacing w:after="0" w:line="184"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b w:val="1"/>
          <w:bCs w:val="1"/>
          <w:i w:val="1"/>
          <w:iCs w:val="1"/>
          <w:color w:val="auto"/>
        </w:rPr>
        <w:t>The legal solutions market is highly competitive and our failure to effectively compete successfully could materially and adversely affect our business, results of operations, financial condition and future prospects</w:t>
      </w:r>
    </w:p>
    <w:p>
      <w:pPr>
        <w:spacing w:after="0" w:line="155" w:lineRule="exact"/>
        <w:rPr>
          <w:sz w:val="20"/>
          <w:szCs w:val="20"/>
          <w:color w:val="auto"/>
        </w:rPr>
      </w:pPr>
    </w:p>
    <w:p>
      <w:pPr>
        <w:ind w:right="120" w:firstLine="405"/>
        <w:spacing w:after="0" w:line="275" w:lineRule="auto"/>
        <w:rPr>
          <w:sz w:val="20"/>
          <w:szCs w:val="20"/>
          <w:color w:val="auto"/>
        </w:rPr>
      </w:pPr>
      <w:r>
        <w:rPr>
          <w:rFonts w:ascii="Arial" w:cs="Arial" w:eastAsia="Arial" w:hAnsi="Arial"/>
          <w:sz w:val="16"/>
          <w:szCs w:val="16"/>
          <w:color w:val="auto"/>
        </w:rPr>
        <w:t>We operate in a very competitive industry. We face intense competition from law firms, solo attorneys, online legal document services, legal plans, secretaries of state and other service providers. The online legal solutions market is evolving rapidly and is becoming increasingly competitive. New market entrants that provide technologies that improve the delivery of legal solutions, such as AI and machine learning, have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5" w:name="page46"/>
    <w:bookmarkEnd w:id="45"/>
    <w:p>
      <w:pPr>
        <w:spacing w:after="0" w:line="258" w:lineRule="auto"/>
        <w:rPr>
          <w:sz w:val="20"/>
          <w:szCs w:val="20"/>
          <w:color w:val="auto"/>
        </w:rPr>
      </w:pPr>
      <w:r>
        <w:rPr>
          <w:rFonts w:ascii="Arial" w:cs="Arial" w:eastAsia="Arial" w:hAnsi="Arial"/>
          <w:sz w:val="16"/>
          <w:szCs w:val="16"/>
          <w:color w:val="auto"/>
        </w:rPr>
        <w:t>increased and could continue to increase the level of competition in the market. Other companies that focus on the online legal services market or business formations, including law firms that may elect to pursue the online legal services market, can and do directly compete with us. Law firms and solo attorneys, who provide in-person consultations and are able to provide direct legal advice that we generally cannot offer due to laws and regulations regarding the unauthorized practice of law (“UPL”), compete with us offline and have developed and may continue to develop competing online legal services. We also compete in the registered agent services business with several companies that target small businesses, and these competitors have extensive experience in this market. In addition, U.S. state and federal agencies have increased their offerings to our target customers or otherwise make their offerings more attractive to our target customers, including through free and easy-to-use business formation services or other document filing portals. To the extent U.S. states and federal agencies continue to increase or enhance their offerings to our target customers, it could have a significant adverse effect on our business, financial condition or results of operations. To the extent we are unable to compete, our business, results of operations, financial condition or future prospects may be harmed.</w:t>
      </w:r>
    </w:p>
    <w:p>
      <w:pPr>
        <w:spacing w:after="0" w:line="74"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Any of our existing competitors, or other potential competitors that have not yet entered the market, have developed and may continue to develop innovative and cost-effective services, including automated business formation and related services, that target our existing and potential customers. Some of our competitors and potential competitors are larger and have greater name recognition, longer operating histories, more established customer relationships and significantly greater resources than we do. As a result, our competitors may be able to respond more quickly and effectively than we can to new or changing opportunities, technologies, standards, or customer requirements. We expect to face increasing competition from offline and online legal services providers in our market, including through their use of AI, and our failure to effectively compete with these providers could result in revenue reductions, reduced margins, or loss of market share, any of which could have a material adverse effect on our business, results of operations, financial condition and future prospects.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brand and reputation, which could be adversely affected by numerous factors</w:t>
      </w:r>
    </w:p>
    <w:p>
      <w:pPr>
        <w:spacing w:after="0" w:line="219"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false and misleading advertising claims, litigation, customer complaints or negative publicity through word-of-mouth, social media outlets, blogs, and other third party sources related to our business practices, as well as customer care, data privacy or security issues, irrespective of their validity, could diminish confidence in our services and adversely affect our brand and reputation and our ability to attract and retain customers.</w:t>
      </w:r>
    </w:p>
    <w:p>
      <w:pPr>
        <w:spacing w:after="0" w:line="64" w:lineRule="exact"/>
        <w:rPr>
          <w:sz w:val="20"/>
          <w:szCs w:val="20"/>
          <w:color w:val="auto"/>
        </w:rPr>
      </w:pPr>
    </w:p>
    <w:p>
      <w:pPr>
        <w:ind w:right="20" w:firstLine="405"/>
        <w:spacing w:after="0" w:line="260" w:lineRule="auto"/>
        <w:rPr>
          <w:sz w:val="20"/>
          <w:szCs w:val="20"/>
          <w:color w:val="auto"/>
        </w:rPr>
      </w:pPr>
      <w:r>
        <w:rPr>
          <w:rFonts w:ascii="Arial" w:cs="Arial" w:eastAsia="Arial" w:hAnsi="Arial"/>
          <w:sz w:val="16"/>
          <w:szCs w:val="16"/>
          <w:color w:val="auto"/>
        </w:rPr>
        <w:t>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expect to receive similar reviews in the future. If we do not handle customer complaints effectively, our brand and reputation may suffer. We may lose our customers’ confidence, they may choose not to renew their subscriptions or purchase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spacing w:after="0" w:line="69" w:lineRule="exact"/>
        <w:rPr>
          <w:sz w:val="20"/>
          <w:szCs w:val="20"/>
          <w:color w:val="auto"/>
        </w:rPr>
      </w:pPr>
    </w:p>
    <w:p>
      <w:pPr>
        <w:jc w:val="both"/>
        <w:ind w:right="200" w:firstLine="405"/>
        <w:spacing w:after="0" w:line="275" w:lineRule="auto"/>
        <w:rPr>
          <w:sz w:val="20"/>
          <w:szCs w:val="20"/>
          <w:color w:val="auto"/>
        </w:rPr>
      </w:pPr>
      <w:r>
        <w:rPr>
          <w:rFonts w:ascii="Arial" w:cs="Arial" w:eastAsia="Arial" w:hAnsi="Arial"/>
          <w:sz w:val="16"/>
          <w:szCs w:val="16"/>
          <w:color w:val="auto"/>
        </w:rPr>
        <w:t>Furthermore, our brand and reputation are in part reliant on third parties, including the independent attorneys who participate in our network and the partners to which we refer our customers for business insurance, tax solutions or banking services, among others. The failure or perceived failure of these third parties to satisfy customer expectations could negatively impact our brand and reputation.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incorporating AI into some of our offerings, which may present both compliance risks and reputational risks</w:t>
      </w:r>
    </w:p>
    <w:p>
      <w:pPr>
        <w:spacing w:after="0" w:line="98" w:lineRule="exact"/>
        <w:rPr>
          <w:sz w:val="20"/>
          <w:szCs w:val="20"/>
          <w:color w:val="auto"/>
        </w:rPr>
      </w:pPr>
    </w:p>
    <w:p>
      <w:pPr>
        <w:ind w:right="20" w:firstLine="405"/>
        <w:spacing w:after="0" w:line="247" w:lineRule="auto"/>
        <w:rPr>
          <w:sz w:val="20"/>
          <w:szCs w:val="20"/>
          <w:color w:val="auto"/>
        </w:rPr>
      </w:pPr>
      <w:r>
        <w:rPr>
          <w:rFonts w:ascii="Arial" w:cs="Arial" w:eastAsia="Arial" w:hAnsi="Arial"/>
          <w:sz w:val="16"/>
          <w:szCs w:val="16"/>
          <w:color w:val="auto"/>
        </w:rPr>
        <w:t>We have incorporated and intend to continue incorporating a number of AI-powered features into our platform and product offerings. The technologies underpinning these features are in the early stages of commercial use and present a number of regulatory, litigation, ethical, reputational, operational and financial risks. AI technologies, including the third-party large language models incorporated into our offerings, may create accuracy issues, including flawed, incomplete, or inaccurate outputs and/or unintended biases and discriminatory outcomes. If the output, recommendations, content, or analyses that our AI applications assist in producing are or are alleged to be deficient, inaccurate, biased or discriminatory, or if they are determined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46" w:name="page47"/>
    <w:bookmarkEnd w:id="46"/>
    <w:p>
      <w:pPr>
        <w:spacing w:after="0" w:line="242" w:lineRule="auto"/>
        <w:rPr>
          <w:sz w:val="20"/>
          <w:szCs w:val="20"/>
          <w:color w:val="auto"/>
        </w:rPr>
      </w:pPr>
      <w:r>
        <w:rPr>
          <w:rFonts w:ascii="Arial" w:cs="Arial" w:eastAsia="Arial" w:hAnsi="Arial"/>
          <w:sz w:val="16"/>
          <w:szCs w:val="16"/>
          <w:color w:val="auto"/>
        </w:rPr>
        <w:t>to constitute UPL, we could be subjected to competitive harm, legal or regulatory liability, and brand or reputational harm. Some AI scenarios may also present ethical issues. If we enable or offer AI solutions that are controversial because of their perceived or real impact on human rights, privacy, employment, or other social issues, we may experience brand or reputational harm. Moreover, the regulatory framework for AI is rapidly evolving as many federal, state, and foreign government bodies and agencies have introduced or are considering additional laws and regulations. For example, the Colorado AI Act and California’s AI-related laws regulate the development and deployment of AI technologies. While new AI initiatives, laws, and regulations are emerging and evolving, what they ultimately will look like remains uncertain, and our obligation to comply with them could impact our development, offering and use of AI technologies, entail significant costs, limit our ability to incorporate certain AI capabilities into our business, or result in regulatory investigations and actions, and lawsuits.</w:t>
      </w:r>
    </w:p>
    <w:p>
      <w:pPr>
        <w:spacing w:after="0" w:line="28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In addition, our employees use AI technologies to perform certain functions of their work, and the disclosure and use of personal data in AI technologies is subject to various privacy laws and other privacy obligations. Further, sensitive information regarding the Company or its customers could be leaked, disclosed, or revealed as a result of or in connection with the use of AI technologies by our employees or vendors.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marketing efforts are unsuccessful, our business, results of operations, financial condition and future prospects may be adversely affected</w:t>
      </w:r>
    </w:p>
    <w:p>
      <w:pPr>
        <w:spacing w:after="0" w:line="219" w:lineRule="exact"/>
        <w:rPr>
          <w:sz w:val="20"/>
          <w:szCs w:val="20"/>
          <w:color w:val="auto"/>
        </w:rPr>
      </w:pPr>
    </w:p>
    <w:p>
      <w:pPr>
        <w:ind w:right="340" w:firstLine="405"/>
        <w:spacing w:after="0" w:line="286" w:lineRule="auto"/>
        <w:rPr>
          <w:sz w:val="20"/>
          <w:szCs w:val="20"/>
          <w:color w:val="auto"/>
        </w:rPr>
      </w:pPr>
      <w:r>
        <w:rPr>
          <w:rFonts w:ascii="Arial" w:cs="Arial" w:eastAsia="Arial" w:hAnsi="Arial"/>
          <w:sz w:val="16"/>
          <w:szCs w:val="16"/>
          <w:color w:val="auto"/>
        </w:rPr>
        <w:t>Our ability to attract and retain customers depends largely on our marketing channels. The primary marketing channels that generate traffic for our websites include search engine marketing, social media and other digital channels, television and our sales team.</w:t>
      </w:r>
    </w:p>
    <w:p>
      <w:pPr>
        <w:spacing w:after="0" w:line="61"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Our ability to maintain or increase customer traffic to our websites from internet search engines is not entirely within our control. We rely on both algorithmic and paid listing internet search results to drive customer traffic to our websites. Algorithmic listings are determined and displayed solely by formulas designed by search engine companies. Internet search engines periodically revise their algorithms, methodologies and displays or incorporate AI into their platforms in ways that are outside of our control. The search ecosystem increasingly includes AI-generated responses that provide direct answers without requiring users to click through to a website. This shift toward “zero-click” searches has contributed, and may continue to contribute, to reduced organic traffic, increased customer acquisition costs, and less effective search engine optimization and digital marketing strategies. Furthermore, because AI overviews within the search experience cite multiple sources for a generated answer, any individual publisher’s impact may be diluted, diminishing brand recognition.</w:t>
      </w:r>
    </w:p>
    <w:p>
      <w:pPr>
        <w:spacing w:after="0" w:line="184" w:lineRule="exact"/>
        <w:rPr>
          <w:sz w:val="20"/>
          <w:szCs w:val="20"/>
          <w:color w:val="auto"/>
        </w:rPr>
      </w:pPr>
    </w:p>
    <w:p>
      <w:pPr>
        <w:ind w:right="20" w:firstLine="405"/>
        <w:spacing w:after="0" w:line="256" w:lineRule="auto"/>
        <w:rPr>
          <w:sz w:val="20"/>
          <w:szCs w:val="20"/>
          <w:color w:val="auto"/>
        </w:rPr>
      </w:pPr>
      <w:r>
        <w:rPr>
          <w:rFonts w:ascii="Arial" w:cs="Arial" w:eastAsia="Arial" w:hAnsi="Arial"/>
          <w:sz w:val="16"/>
          <w:szCs w:val="16"/>
          <w:color w:val="auto"/>
        </w:rPr>
        <w:t>In addition, we can purchase paid listings, which are displayed if particular words or terms are included in a customer’s internet search. We bid for paid listings against our competitors and third parties that may outbid us for preferred placement, which could adversely impact advertising efficiency and customer acquisition efforts. To the extent competition for paid listings increases or our ad placements for target keywords declines, we have been and may again be required to increase our marketing expenses or reduce the number or prominence of our paid listings. If we reduce our internet search engine advertising, the number of customers who visit our websites could decline significantly. Further, if we violate, or a search engine provider believes we have violated, the terms of service, the provider could limit or discontinue its support for our paid search results. For example, the ways in which Google chooses to enforce its policy regarding the advertisement of federal filings has resulted and could continue to result in a decline in our paid search results and a resulting decrease in traffic to our website. Any such limitations or discontinuations could significantly reduce our ability to attract new customers.</w:t>
      </w:r>
    </w:p>
    <w:p>
      <w:pPr>
        <w:spacing w:after="0" w:line="209" w:lineRule="exact"/>
        <w:rPr>
          <w:sz w:val="20"/>
          <w:szCs w:val="20"/>
          <w:color w:val="auto"/>
        </w:rPr>
      </w:pPr>
    </w:p>
    <w:p>
      <w:pPr>
        <w:ind w:right="80" w:firstLine="405"/>
        <w:spacing w:after="0" w:line="265" w:lineRule="auto"/>
        <w:rPr>
          <w:sz w:val="20"/>
          <w:szCs w:val="20"/>
          <w:color w:val="auto"/>
        </w:rPr>
      </w:pPr>
      <w:r>
        <w:rPr>
          <w:rFonts w:ascii="Arial" w:cs="Arial" w:eastAsia="Arial" w:hAnsi="Arial"/>
          <w:sz w:val="16"/>
          <w:szCs w:val="16"/>
          <w:color w:val="auto"/>
        </w:rPr>
        <w:t>Additionally, changes in regulations or third party business practices have in the past and could in the future limit our ability, and the ability of platforms such Google and Meta, to collect data from users and engage in targeted advertising, reducing their effectiveness in reaching our target customers. The regulation of the use of cookies and other current online tracking and advertising practices or a loss in our ability to make effective use of services that employ such practices could adversely affect our business.</w:t>
      </w:r>
    </w:p>
    <w:p>
      <w:pPr>
        <w:spacing w:after="0" w:line="213"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We have been and may again be required to adopt new marketing approaches in response to shifts in how customers consume information online. These efforts to remain competitive may increase our costs without a corresponding increase in sales or customer acquisition. Any inability to respond to these changes effectively, or any reduction or loss of our current advertising channels, could adversely affect our ability to attract new customers and, in turn, our business, results of operations, financial condition, and future prospects.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47" w:name="page48"/>
    <w:bookmarkEnd w:id="47"/>
    <w:p>
      <w:pPr>
        <w:ind w:right="620"/>
        <w:spacing w:after="0" w:line="294" w:lineRule="auto"/>
        <w:rPr>
          <w:sz w:val="20"/>
          <w:szCs w:val="20"/>
          <w:color w:val="auto"/>
        </w:rPr>
      </w:pPr>
      <w:r>
        <w:rPr>
          <w:rFonts w:ascii="Arial" w:cs="Arial" w:eastAsia="Arial" w:hAnsi="Arial"/>
          <w:sz w:val="16"/>
          <w:szCs w:val="16"/>
          <w:b w:val="1"/>
          <w:bCs w:val="1"/>
          <w:i w:val="1"/>
          <w:iCs w:val="1"/>
          <w:color w:val="auto"/>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spacing w:after="0" w:line="155" w:lineRule="exact"/>
        <w:rPr>
          <w:sz w:val="20"/>
          <w:szCs w:val="20"/>
          <w:color w:val="auto"/>
        </w:rPr>
      </w:pPr>
    </w:p>
    <w:p>
      <w:pPr>
        <w:ind w:firstLine="405"/>
        <w:spacing w:after="0" w:line="256" w:lineRule="auto"/>
        <w:rPr>
          <w:sz w:val="20"/>
          <w:szCs w:val="20"/>
          <w:color w:val="auto"/>
        </w:rPr>
      </w:pPr>
      <w:r>
        <w:rPr>
          <w:rFonts w:ascii="Arial" w:cs="Arial" w:eastAsia="Arial" w:hAnsi="Arial"/>
          <w:sz w:val="16"/>
          <w:szCs w:val="16"/>
          <w:color w:val="auto"/>
        </w:rPr>
        <w:t>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can be costly. We have from time to time experienced, and we expect to continue to experience, difficulty in hiring and retaining highly skilled employees with appropriate qualifications which may, among other things, impede our ability to execute our growth strategies or continue to operate our business in a satisfactory manner. In addition, our flexible first work policy, which results in a predominantly remote workforce, has made it difficult to orient, train, develop, motivate, and engage with our employees and embed them into the LegalZoom culture. If we are not able to effectively attract or retain quality employees and manage both our domestic and international workforce, including if employee relations deteriorate, disruptions to the business will occur, our costs will increase, our ability to achieve our strategic objectives will be adversely impacted, our brand or reputation could suffer, and our business may be adversely affected. In addition, we have in the past, and may in the future, conduct reduction in workforce actions, which can lead to the elimination of roles causing unexpected adverse impacts on our business. These adverse impacts can include attrition beyond the intended reduction in workforce, delays in the development of new products or services due to gaps in knowledge transfer and new employee ramp up time, an increased risk of litigation, the distraction of employees, and reduced employee morale, any of which could also adversely affect our reputation as an employer and make it more difficult for us to hire new employees in the future.</w:t>
      </w:r>
    </w:p>
    <w:p>
      <w:pPr>
        <w:spacing w:after="0" w:line="270"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In addition, if we cannot attract additional, qualified independent attorneys to participate in our attorney network to service the needs of our legal plan subscribers and to support our attorney assisted legal offerings, or if these attorneys encounter regulatory issues that prevent them from being able to service these customer needs, we may not be able grow and maintain our legal plan subscription business or other assisted legal solutions and, as a result, our business, revenue, results of operations and future prospects may be adversely affected.</w:t>
      </w:r>
    </w:p>
    <w:p>
      <w:pPr>
        <w:spacing w:after="0" w:line="188"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b w:val="1"/>
          <w:bCs w:val="1"/>
          <w:i w:val="1"/>
          <w:iCs w:val="1"/>
          <w:color w:val="auto"/>
        </w:rPr>
        <w:t>Our business and success depend in part on our strategic relationships with third parties, including our partner ecosystem, and our business may be harmed if we fail to maintain or expand these relationships</w:t>
      </w:r>
    </w:p>
    <w:p>
      <w:pPr>
        <w:spacing w:after="0" w:line="155" w:lineRule="exact"/>
        <w:rPr>
          <w:sz w:val="20"/>
          <w:szCs w:val="20"/>
          <w:color w:val="auto"/>
        </w:rPr>
      </w:pPr>
    </w:p>
    <w:p>
      <w:pPr>
        <w:ind w:right="20" w:firstLine="405"/>
        <w:spacing w:after="0" w:line="257" w:lineRule="auto"/>
        <w:rPr>
          <w:sz w:val="20"/>
          <w:szCs w:val="20"/>
          <w:color w:val="auto"/>
        </w:rPr>
      </w:pPr>
      <w:r>
        <w:rPr>
          <w:rFonts w:ascii="Arial" w:cs="Arial" w:eastAsia="Arial" w:hAnsi="Arial"/>
          <w:sz w:val="16"/>
          <w:szCs w:val="16"/>
          <w:color w:val="auto"/>
        </w:rPr>
        <w:t>We depend on, and anticipate we will continue to depend on, various third party relationships to sustain and grow our business. For example, we currently partner with a variety of third parties to provide us with lead referrals and to provide our customers with tax solutions, website development, credit card and banking services, productivity tools and business insurance, among others. Our customer experience depend on our ability to connect to, and integrate easily with such third-party solutions. We have in the past and may in the future determine to exit certain partnership relationships. We may also fail to retain and expand partnership relationships for many reasons, including third parties’ failure to maintain, support, or secure their technology platforms in general, restrictions imposed by regulatory compliance, and our integrations in particular. Terminations of partnership relationships, whether voluntary or involuntary, have in the past and could again in the future result in disputes or litigation or harm our relationship with our customers, our reputation and brand, our business and results of operations, and our future prospects.</w:t>
      </w:r>
    </w:p>
    <w:p>
      <w:pPr>
        <w:spacing w:after="0" w:line="84" w:lineRule="exact"/>
        <w:rPr>
          <w:sz w:val="20"/>
          <w:szCs w:val="20"/>
          <w:color w:val="auto"/>
        </w:rPr>
      </w:pPr>
    </w:p>
    <w:p>
      <w:pPr>
        <w:ind w:right="40" w:firstLine="405"/>
        <w:spacing w:after="0" w:line="256" w:lineRule="auto"/>
        <w:rPr>
          <w:sz w:val="20"/>
          <w:szCs w:val="20"/>
          <w:color w:val="auto"/>
        </w:rPr>
      </w:pPr>
      <w:r>
        <w:rPr>
          <w:rFonts w:ascii="Arial" w:cs="Arial" w:eastAsia="Arial" w:hAnsi="Arial"/>
          <w:sz w:val="16"/>
          <w:szCs w:val="16"/>
          <w:color w:val="auto"/>
        </w:rPr>
        <w:t>As we continue to add different types of partners to our partner ecosystem, it is uncertain whether any new or current third party partners will be successful in building integrations, co-marketing our solutions to provide a significant volume and quality of lead referrals and orders, or continuing to work with us as their own businesses evolve. Identifying and negotiating new and expanded partner relationships requires significant resources and we cannot guarantee that the parties with which we have relationships can or will continue to devote the resources necessary to operate and expand our platform. In addition, integrating third party technology can be complex, costly and time-consuming. Third parties may be unwilling to build integrations, and we may be required to devote additional resources to develop integrations for business applications on our own. The contracts applicable to third party development tools may be unfavorable and add costs or risks to our business or may require us to push additional contract terms to our customers that affect our relationship with our customers. Third parties we partner with, including providers of business applications with which we have integrations, may decide to compete with us or enter into arrangements with our competitors, resulting in such providers withdrawing support for our integrations. If we are unsuccessful in establishing or maintaining our relationships with third parties, our ability to compete or our revenue, results of operations and future prospects may be adversely affected. Even if we are successful in establishing and maintaining these relationships with third parties, we cannot ensure that these relationships will result in increased usage of our platform or increased revenue. In addition, any failure of our solutions to operate effectively with these business applications could reduce the demand for our solutions and harm to our business and we may also be held responsible for obligations that arise from the actions or omissions of third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48" w:name="page49"/>
    <w:bookmarkEnd w:id="48"/>
    <w:p>
      <w:pPr>
        <w:spacing w:after="0" w:line="286" w:lineRule="auto"/>
        <w:rPr>
          <w:sz w:val="20"/>
          <w:szCs w:val="20"/>
          <w:color w:val="auto"/>
        </w:rPr>
      </w:pPr>
      <w:r>
        <w:rPr>
          <w:rFonts w:ascii="Arial" w:cs="Arial" w:eastAsia="Arial" w:hAnsi="Arial"/>
          <w:sz w:val="16"/>
          <w:szCs w:val="16"/>
          <w:color w:val="auto"/>
        </w:rPr>
        <w:t>parties. If we are unable to respond to these failures in a cost-effective manner, our solutions may become less marketable, less competitive or obsolete, and our results of operations may be negatively impacted.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reliance on third-party providers could adversely affect our business</w:t>
      </w:r>
    </w:p>
    <w:p>
      <w:pPr>
        <w:spacing w:after="0" w:line="219" w:lineRule="exact"/>
        <w:rPr>
          <w:sz w:val="20"/>
          <w:szCs w:val="20"/>
          <w:color w:val="auto"/>
        </w:rPr>
      </w:pPr>
    </w:p>
    <w:p>
      <w:pPr>
        <w:ind w:right="120" w:firstLine="405"/>
        <w:spacing w:after="0" w:line="261" w:lineRule="auto"/>
        <w:rPr>
          <w:sz w:val="20"/>
          <w:szCs w:val="20"/>
          <w:color w:val="auto"/>
        </w:rPr>
      </w:pPr>
      <w:r>
        <w:rPr>
          <w:rFonts w:ascii="Arial" w:cs="Arial" w:eastAsia="Arial" w:hAnsi="Arial"/>
          <w:sz w:val="16"/>
          <w:szCs w:val="16"/>
          <w:color w:val="auto"/>
        </w:rPr>
        <w:t>We rely on third parties to fulfill portions of the services we offer and to support our operations. For example, we rely on government agencies, including secretary of state offices, the U.S. Internal Revenue Service and the U.S. Patent and Trademark Office, to process business formation documents and related filings and intellectual property applications. These agencies have in the past and may in the future be unable or refuse to process submissions in a timely manner, including as a result of any government shutdowns, slowdowns or staffing shortages. To the extent we are unable to process submissions or filings in a timely manner, our brand and reputation may be adversely affected, or our customers may seek other avenues for their business formation or intellectual property needs.</w:t>
      </w:r>
    </w:p>
    <w:p>
      <w:pPr>
        <w:spacing w:after="0" w:line="82" w:lineRule="exact"/>
        <w:rPr>
          <w:sz w:val="20"/>
          <w:szCs w:val="20"/>
          <w:color w:val="auto"/>
        </w:rPr>
      </w:pPr>
    </w:p>
    <w:p>
      <w:pPr>
        <w:ind w:right="60" w:firstLine="405"/>
        <w:spacing w:after="0" w:line="256" w:lineRule="auto"/>
        <w:rPr>
          <w:sz w:val="20"/>
          <w:szCs w:val="20"/>
          <w:color w:val="auto"/>
        </w:rPr>
      </w:pPr>
      <w:r>
        <w:rPr>
          <w:rFonts w:ascii="Arial" w:cs="Arial" w:eastAsia="Arial" w:hAnsi="Arial"/>
          <w:sz w:val="16"/>
          <w:szCs w:val="16"/>
          <w:color w:val="auto"/>
        </w:rPr>
        <w:t>We also utilize third parties in connection with the fulfillment and distribution of our services, including the independent attorneys that support our legal plan network and other parties that support our registered agent and virtual mail subscription services. We also outsource certain operational functions, including certain sales, customer service and fulfillment functions. As a result, we rely on third parties to ensure that our and our customers’ needs are sufficiently met. While we select third party providers carefully, we have limited control over their actions. If these third party providers encounter difficulties, or if we have difficulty communicating with them, our business operations could be adversely affected. This reliance on third party providers also subjects us to risks arising from the loss of control over processes, and potentially, termination of these services by the third parties. A failure of our third party providers to perform services in a satisfactory manner may have a significant adverse effect on our business. In addition, our platform interoperates with certain third party sites. As a result, our results may be affected by the performance of those parties and the interoperability of our platform with other sites. If these third parties limit integration functionality, change their treatment of our services at any time, or experience quality issues, such as bugs and defects, our revenue, results of operations and future prospects may be adversely affected.</w:t>
      </w:r>
    </w:p>
    <w:p>
      <w:pPr>
        <w:spacing w:after="0" w:line="76"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We also utilize various types of data, technology, intellectual property and services licensed or otherwise obtained from unaffiliated third parties in order to provide certain elements of our solutions. For example, we rely on cloud computing infrastructure, particularly from Amazon Web Services, or AWS, to host our platform and support our operations. We exercise limited, if any, control over these third parties, including AWS, which increases our vulnerability to problems with the services they provide for us and to security incidents or breaches affecting the data and information they hold or process on our behalf. Any errors, defects, bugs or other vulnerabilities in any third 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Any loss of the right to use any of these data, technology or intellectual property licenses or services on commercially reasonable terms, or at all, could result in delays in producing or delivering our solutions until equivalent data, technology, intellectual property or services are identified and integrated, which delays could harm our business. If we fail to maintain or renegotiate any of these data, technology or intellectual property licenses or services, we could face significant delays and diversion of resources in attempting to identify or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spacing w:after="0" w:line="180"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b w:val="1"/>
          <w:bCs w:val="1"/>
          <w:i w:val="1"/>
          <w:iCs w:val="1"/>
          <w:color w:val="auto"/>
        </w:rPr>
        <w:t>Any future acquisitions or investments may divert our management’s attention, result in additional dilution to our stockholders or adversely affect our operating results</w:t>
      </w:r>
    </w:p>
    <w:p>
      <w:pPr>
        <w:spacing w:after="0" w:line="129" w:lineRule="exact"/>
        <w:rPr>
          <w:sz w:val="20"/>
          <w:szCs w:val="20"/>
          <w:color w:val="auto"/>
        </w:rPr>
      </w:pPr>
    </w:p>
    <w:p>
      <w:pPr>
        <w:ind w:right="160" w:firstLine="405"/>
        <w:spacing w:after="0" w:line="265" w:lineRule="auto"/>
        <w:rPr>
          <w:sz w:val="20"/>
          <w:szCs w:val="20"/>
          <w:color w:val="auto"/>
        </w:rPr>
      </w:pPr>
      <w:r>
        <w:rPr>
          <w:rFonts w:ascii="Arial" w:cs="Arial" w:eastAsia="Arial" w:hAnsi="Arial"/>
          <w:sz w:val="16"/>
          <w:szCs w:val="16"/>
          <w:color w:val="auto"/>
        </w:rPr>
        <w:t>We have in the past acquired or invested in businesses, products or technologies that we believed could complement or expand our current platform, enhance our technical capabilities or otherwise offer growth opportunities. In February 2025, we acquired Formation Nation, and we may in the future seek to acquire or invest in additional businesses, products or technologies. The risks and uncertainties we face in connection with any future acquisitions or investments, whether or not they are consummated, include, but are not limited to:</w:t>
      </w:r>
    </w:p>
    <w:p>
      <w:pPr>
        <w:spacing w:after="0" w:line="65" w:lineRule="exact"/>
        <w:rPr>
          <w:sz w:val="20"/>
          <w:szCs w:val="20"/>
          <w:color w:val="auto"/>
        </w:rPr>
      </w:pPr>
    </w:p>
    <w:p>
      <w:pPr>
        <w:ind w:left="740" w:right="60" w:hanging="317"/>
        <w:spacing w:after="0" w:line="275" w:lineRule="auto"/>
        <w:tabs>
          <w:tab w:leader="none" w:pos="7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acquisition may require us to incur charges or assume substantial debt or other liabilities, cause adverse tax consequences, expose us to claims and disputes by stockholders and third parties, including intellectual property claims and disputes, and may not generate sufficient financial return to offset any additional costs and expenses related to such acquisition;</w:t>
      </w:r>
    </w:p>
    <w:p>
      <w:pPr>
        <w:spacing w:after="0" w:line="69" w:lineRule="exact"/>
        <w:rPr>
          <w:rFonts w:ascii="Arial" w:cs="Arial" w:eastAsia="Arial" w:hAnsi="Arial"/>
          <w:sz w:val="16"/>
          <w:szCs w:val="16"/>
          <w:color w:val="auto"/>
        </w:rPr>
      </w:pPr>
    </w:p>
    <w:p>
      <w:pPr>
        <w:ind w:left="740" w:right="500" w:hanging="317"/>
        <w:spacing w:after="0" w:line="286" w:lineRule="auto"/>
        <w:tabs>
          <w:tab w:leader="none" w:pos="7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difficulties or unforeseen expenditures in integrating the business, technologies, products, personnel or operations of the acquired company, particularly if key personnel of the acquired company decide not to work for us;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9" w:name="page50"/>
    <w:bookmarkEnd w:id="49"/>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inability to retain personnel, key customers, distributors, vendors and other business partners of the acquired business;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inability to realize the financial and strategic goals or anticipated synergies of the acquisition or investment on a timely basis, if at all;</w:t>
      </w:r>
    </w:p>
    <w:p>
      <w:pPr>
        <w:spacing w:after="0" w:line="126" w:lineRule="exact"/>
        <w:rPr>
          <w:rFonts w:ascii="Arial" w:cs="Arial" w:eastAsia="Arial" w:hAnsi="Arial"/>
          <w:sz w:val="16"/>
          <w:szCs w:val="16"/>
          <w:color w:val="auto"/>
        </w:rPr>
      </w:pPr>
    </w:p>
    <w:p>
      <w:pPr>
        <w:ind w:left="740" w:right="80" w:hanging="317"/>
        <w:spacing w:after="0" w:line="286" w:lineRule="auto"/>
        <w:tabs>
          <w:tab w:leader="none" w:pos="7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incurring higher than anticipated costs to effectively integrate an acquired business, to bring an acquired company into compliance with applicable laws and regulations or due to additional compensation issued or assumed in connection with an acquisition;</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disruption to our ongoing business, diversion of resources and distraction of our management;</w:t>
      </w:r>
    </w:p>
    <w:p>
      <w:pPr>
        <w:spacing w:after="0" w:line="113" w:lineRule="exact"/>
        <w:rPr>
          <w:rFonts w:ascii="Arial" w:cs="Arial" w:eastAsia="Arial" w:hAnsi="Arial"/>
          <w:sz w:val="16"/>
          <w:szCs w:val="16"/>
          <w:color w:val="auto"/>
        </w:rPr>
      </w:pPr>
    </w:p>
    <w:p>
      <w:pPr>
        <w:ind w:left="740" w:right="80" w:hanging="317"/>
        <w:spacing w:after="0" w:line="286" w:lineRule="auto"/>
        <w:tabs>
          <w:tab w:leader="none" w:pos="7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delays or reductions in customer purchases for both us and the company acquired due to customer uncertainty about continuity and effectiveness of service from either company;</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challenges integrating the employees of the acquired company into our company culture;</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exposure to litigation or other claims in connection with, or inheritance of claims or litigation risk as a result of, an acquisition;</w:t>
      </w:r>
    </w:p>
    <w:p>
      <w:pPr>
        <w:spacing w:after="0" w:line="126" w:lineRule="exact"/>
        <w:rPr>
          <w:rFonts w:ascii="Arial" w:cs="Arial" w:eastAsia="Arial" w:hAnsi="Arial"/>
          <w:sz w:val="16"/>
          <w:szCs w:val="16"/>
          <w:color w:val="auto"/>
        </w:rPr>
      </w:pPr>
    </w:p>
    <w:p>
      <w:pPr>
        <w:ind w:left="740" w:right="140" w:hanging="317"/>
        <w:spacing w:after="0" w:line="286" w:lineRule="auto"/>
        <w:tabs>
          <w:tab w:leader="none" w:pos="7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potential identified or unknown security vulnerabilities in acquired products or technologies that expose us to additional security risks or delay our ability to integrate the products or technologies into our offerings;</w:t>
      </w:r>
    </w:p>
    <w:p>
      <w:pPr>
        <w:spacing w:after="0" w:line="47" w:lineRule="exact"/>
        <w:rPr>
          <w:rFonts w:ascii="Arial" w:cs="Arial" w:eastAsia="Arial" w:hAnsi="Arial"/>
          <w:sz w:val="16"/>
          <w:szCs w:val="16"/>
          <w:color w:val="auto"/>
        </w:rPr>
      </w:pPr>
    </w:p>
    <w:p>
      <w:pPr>
        <w:ind w:left="740" w:right="320" w:hanging="317"/>
        <w:spacing w:after="0" w:line="304" w:lineRule="auto"/>
        <w:tabs>
          <w:tab w:leader="none" w:pos="7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difficulty in maintaining controls, procedures and policies during the transition and integration and inability to conclude that our internal controls over financial reporting are effective;</w:t>
      </w:r>
    </w:p>
    <w:p>
      <w:pPr>
        <w:spacing w:after="0" w:line="33" w:lineRule="exact"/>
        <w:rPr>
          <w:rFonts w:ascii="Arial" w:cs="Arial" w:eastAsia="Arial" w:hAnsi="Arial"/>
          <w:sz w:val="16"/>
          <w:szCs w:val="16"/>
          <w:color w:val="auto"/>
        </w:rPr>
      </w:pPr>
    </w:p>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use of cash to pay for acquisitions or other investments would limit other potential uses for our cash;</w:t>
      </w:r>
    </w:p>
    <w:p>
      <w:pPr>
        <w:spacing w:after="0" w:line="113" w:lineRule="exact"/>
        <w:rPr>
          <w:rFonts w:ascii="Arial" w:cs="Arial" w:eastAsia="Arial" w:hAnsi="Arial"/>
          <w:sz w:val="16"/>
          <w:szCs w:val="16"/>
          <w:color w:val="auto"/>
        </w:rPr>
      </w:pPr>
    </w:p>
    <w:p>
      <w:pPr>
        <w:ind w:left="740" w:right="560" w:hanging="317"/>
        <w:spacing w:after="0" w:line="304" w:lineRule="auto"/>
        <w:tabs>
          <w:tab w:leader="none" w:pos="7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incur debt to fund any acquisitions, such debt may subject us to material restrictions on our ability to conduct our business due to new financial maintenance and other covenants; and</w:t>
      </w:r>
    </w:p>
    <w:p>
      <w:pPr>
        <w:spacing w:after="0" w:line="33" w:lineRule="exact"/>
        <w:rPr>
          <w:rFonts w:ascii="Arial" w:cs="Arial" w:eastAsia="Arial" w:hAnsi="Arial"/>
          <w:sz w:val="16"/>
          <w:szCs w:val="16"/>
          <w:color w:val="auto"/>
        </w:rPr>
      </w:pPr>
    </w:p>
    <w:p>
      <w:pPr>
        <w:ind w:left="740" w:right="160" w:hanging="317"/>
        <w:spacing w:after="0" w:line="304" w:lineRule="auto"/>
        <w:tabs>
          <w:tab w:leader="none" w:pos="7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issuance of a significant amount of equity securities in connection with any future acquisitions could dilute existing stockholders and earnings per share may decrease.</w:t>
      </w:r>
    </w:p>
    <w:p>
      <w:pPr>
        <w:spacing w:after="0" w:line="33"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We have in the past faced difficulties in connection with integrating some of our acquisitions and expect to face similar difficulties in the future. These difficulties can range from lost productivity to legal proceedings, and we cannot know in advance the extent of the issues that may be involved with a particular acquisition or investment. We may also decide to restructure, divest or sell businesses, products or technologies that we have acquired or invested in previously. The occurrence of any of the foregoing risks could have an adverse effect on our business, results of operations, financial condition and future prospects and could adversely affect the market price of our common stock.</w:t>
      </w:r>
    </w:p>
    <w:p>
      <w:pPr>
        <w:spacing w:after="0" w:line="17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i w:val="1"/>
          <w:iCs w:val="1"/>
          <w:color w:val="auto"/>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spacing w:after="0" w:line="153" w:lineRule="exact"/>
        <w:rPr>
          <w:sz w:val="20"/>
          <w:szCs w:val="20"/>
          <w:color w:val="auto"/>
        </w:rPr>
      </w:pPr>
    </w:p>
    <w:p>
      <w:pPr>
        <w:ind w:firstLine="405"/>
        <w:spacing w:after="0" w:line="256" w:lineRule="auto"/>
        <w:rPr>
          <w:sz w:val="20"/>
          <w:szCs w:val="20"/>
          <w:color w:val="auto"/>
        </w:rPr>
      </w:pPr>
      <w:r>
        <w:rPr>
          <w:rFonts w:ascii="Arial" w:cs="Arial" w:eastAsia="Arial" w:hAnsi="Arial"/>
          <w:sz w:val="16"/>
          <w:szCs w:val="16"/>
          <w:color w:val="auto"/>
        </w:rPr>
        <w:t>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We have experienced, and may in the future experience, website and service disruptions, outages and other performance problems due to a variety of factors, including infrastructure maintenance, natural disasters, human or software errors, ransomware attacks, capacity constraints, denial or degradation of service, fraud, climate change and extreme weather-related events, terrorism, war, telecommunications and electrical failures, cyberattacks or other security-related incidents. In some instances, the steps we have taken to try to prevent these attacks and disruptions and mitigate their potential impact on our systems and operations may be expensive and may not be successful. In addition, dependence upon information systems (including automated systems) may further increase the risk that operational system flaws, personnel error or malfeasance (including of service providers upon which we rely), or manipulation of those systems will result in defects or efforts that are difficult to detect. We may not be able to identify the cause or causes of any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Any failure to maintain performance, reliability, security or availability of our legal document services and online technology platform to the satisfaction of our customers may harm our brand and reputation, as well as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50" w:name="page51"/>
    <w:bookmarkEnd w:id="50"/>
    <w:p>
      <w:pPr>
        <w:ind w:right="220"/>
        <w:spacing w:after="0" w:line="265" w:lineRule="auto"/>
        <w:rPr>
          <w:sz w:val="20"/>
          <w:szCs w:val="20"/>
          <w:color w:val="auto"/>
        </w:rPr>
      </w:pPr>
      <w:r>
        <w:rPr>
          <w:rFonts w:ascii="Arial" w:cs="Arial" w:eastAsia="Arial" w:hAnsi="Arial"/>
          <w:sz w:val="16"/>
          <w:szCs w:val="16"/>
          <w:color w:val="auto"/>
        </w:rPr>
        <w:t>our ability to retain existing customers and attract new customers, which could adversely affect our business, results of operations, financial condition and future prospects. In addition,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spacing w:after="0" w:line="78" w:lineRule="exact"/>
        <w:rPr>
          <w:sz w:val="20"/>
          <w:szCs w:val="20"/>
          <w:color w:val="auto"/>
        </w:rPr>
      </w:pPr>
    </w:p>
    <w:p>
      <w:pPr>
        <w:ind w:firstLine="405"/>
        <w:spacing w:after="0" w:line="256" w:lineRule="auto"/>
        <w:rPr>
          <w:sz w:val="20"/>
          <w:szCs w:val="20"/>
          <w:color w:val="auto"/>
        </w:rPr>
      </w:pPr>
      <w:r>
        <w:rPr>
          <w:rFonts w:ascii="Arial" w:cs="Arial" w:eastAsia="Arial" w:hAnsi="Arial"/>
          <w:sz w:val="16"/>
          <w:szCs w:val="16"/>
          <w:color w:val="auto"/>
        </w:rPr>
        <w:t>Our operations and online services also rely on the continued functioning and accessibility of certain physical locations, including product fulfillment locations and data centers operated by AWS or other service providers. These physical locations are vulnerable to damage or interruption from natural disasters, adverse weather conditions, power losses, telecommunication failures, terrorist attacks, human errors or malfeasance, lockdown orders resulting from a public health pandemic or epidemic, break-ins and similar events. The occurrence of any of the foregoing events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and Silicon Valley areas, where a large portion of our employees are located, are in earthquake fault zones and because both the Los Angeles area and Frisco, Texas, where a lot of our virtual mail operations are currently located, are subject to the increased risk of wildfires, tornadoes and power outages, we are particularly sensitive to the risk of damage to, or total destruction of, our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spacing w:after="0" w:line="38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We may from time to time become involved in litigation, arbitration or government investigation matters that are expensive and time consuming and, if resolved adversely, could harm our brand and reputation, business, results of operations, financial condition or future prospects</w:t>
      </w:r>
    </w:p>
    <w:p>
      <w:pPr>
        <w:spacing w:after="0" w:line="129"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We are susceptible to various legal claims, lawsuits, arbitration, regulatory action or other proceedings, including those related to UPL, patent,</w:t>
      </w:r>
    </w:p>
    <w:p>
      <w:pPr>
        <w:spacing w:after="0" w:line="21"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trademark, trade secret and other intellectual property matters, taxes, labor and employment, competition and antitrust, privacy, data use, data protection, data security, network security, wiretapping, consumer protection and product liability, unfair business practices, breach of contract and other matters. We have been and may in the future become subject to various claims which, if resolved adversely, could have a material adverse effect on our financial position, results of operations, or cash flows. We anticipate that we will continue to be a target for such lawsuits in the future.</w:t>
      </w:r>
    </w:p>
    <w:p>
      <w:pPr>
        <w:spacing w:after="0" w:line="65"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The plaintiffs in these actions generally seek monetary damages, penalties, and/or injunctive relief. We cannot predict the outcome of such proceedings or the amount of time and expense that will be required to resolve such proceedings. If such claims are made against us, there can be no assurances that favorable final outcomes will be obtained; if such claims were to be determined adversely to our interests, or if we were forced to settle such matters for a significant amount, such resolutions or settlements may result in changes to or discontinuance of some of our services, potential liabilities or additional costs. Defending these claims is also costly and can impose a significant burden on management and employees, and we may receive unfavorable preliminary or interim rulings in the course of litigation. Any litigation to which we are currently or may in the future be a party may result in an onerous or unfavorable judgment that may not be reversed upon appeal, or we may decide to settle lawsuits on unfavorable terms.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spacing w:after="0" w:line="74"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We also may encounter future claims. For example, our U.S. subsidiary, LZ Legal Services, LLC, is licensed as an alternative business structure, which allows corporate entities to become licensed providers of reserved legal activities in Arizona. As a result, LZ Legal Services, LLC may be susceptible to potential claims from clients, such as breach of contract, product liability, negligence or other claims. Any such claims could result in reputational damage or an adverse effect on our results of operations. The professional liability insurance held by LZ Legal Services, LLC and limiting its liability in accordance with engagement letters with clients may not insure or protect against all potential claims or sufficiently indemnify us or the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51" w:name="page52"/>
    <w:bookmarkEnd w:id="51"/>
    <w:p>
      <w:pPr>
        <w:ind w:right="360"/>
        <w:spacing w:after="0" w:line="294" w:lineRule="auto"/>
        <w:rPr>
          <w:sz w:val="20"/>
          <w:szCs w:val="20"/>
          <w:color w:val="auto"/>
        </w:rPr>
      </w:pPr>
      <w:r>
        <w:rPr>
          <w:rFonts w:ascii="Arial" w:cs="Arial" w:eastAsia="Arial" w:hAnsi="Arial"/>
          <w:sz w:val="16"/>
          <w:szCs w:val="16"/>
          <w:b w:val="1"/>
          <w:bCs w:val="1"/>
          <w:i w:val="1"/>
          <w:iCs w:val="1"/>
          <w:color w:val="auto"/>
        </w:rPr>
        <w:t>We are subject to risks related to accepting credit and debit card payments that may harm our business or expose us to additional costs and liabilities</w:t>
      </w:r>
    </w:p>
    <w:p>
      <w:pPr>
        <w:spacing w:after="0" w:line="155" w:lineRule="exact"/>
        <w:rPr>
          <w:sz w:val="20"/>
          <w:szCs w:val="20"/>
          <w:color w:val="auto"/>
        </w:rPr>
      </w:pPr>
    </w:p>
    <w:p>
      <w:pPr>
        <w:ind w:firstLine="405"/>
        <w:spacing w:after="0" w:line="256" w:lineRule="auto"/>
        <w:rPr>
          <w:sz w:val="20"/>
          <w:szCs w:val="20"/>
          <w:color w:val="auto"/>
        </w:rPr>
      </w:pPr>
      <w:r>
        <w:rPr>
          <w:rFonts w:ascii="Arial" w:cs="Arial" w:eastAsia="Arial" w:hAnsi="Arial"/>
          <w:sz w:val="16"/>
          <w:szCs w:val="16"/>
          <w:color w:val="auto"/>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three or twelve equal payments. Acceptance and processing of credit and debit cards requires that we pay interchange and other fees. In addition, we rely on third parties to provide payment processing services, including the processing of our credit and debit card transactions, and to provide payment collection services. To the extent there are increases in payment processing fees, material changes in the payment ecosystem, such as large re-issuances of payment cards, delays in receiving payments from payment processors, loss of payment partners and/or disruptions or failures in our payment processing systems, including products we use to update payment information, our revenue, operating expenses and results of operation could be adversely impacted.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spacing w:after="0" w:line="89"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Financial Condition, Indebtedness and Capital Requirements</w:t>
      </w:r>
    </w:p>
    <w:p>
      <w:pPr>
        <w:spacing w:after="0" w:line="23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Our results of operations may not immediately reflect downturns or upturns in sales because we recognize revenue from our customers over the term of their paid subscriptions with us</w:t>
      </w:r>
    </w:p>
    <w:p>
      <w:pPr>
        <w:spacing w:after="0" w:line="141" w:lineRule="exact"/>
        <w:rPr>
          <w:sz w:val="20"/>
          <w:szCs w:val="20"/>
          <w:color w:val="auto"/>
        </w:rPr>
      </w:pPr>
    </w:p>
    <w:p>
      <w:pPr>
        <w:ind w:firstLine="405"/>
        <w:spacing w:after="0" w:line="257" w:lineRule="auto"/>
        <w:rPr>
          <w:sz w:val="20"/>
          <w:szCs w:val="20"/>
          <w:color w:val="auto"/>
        </w:rPr>
      </w:pPr>
      <w:r>
        <w:rPr>
          <w:rFonts w:ascii="Arial" w:cs="Arial" w:eastAsia="Arial" w:hAnsi="Arial"/>
          <w:sz w:val="16"/>
          <w:szCs w:val="16"/>
          <w:color w:val="auto"/>
        </w:rPr>
        <w:t>We recognize revenue from paid subscriptions to our services over the respective term of the subscription period. For example, after a short introductory trial period, if any, subscribers can make a subscription commitment, with the upcoming subscription fee paid upon subscribing. As a result, much of our revenue is generated from the recognition of deferred revenue relating to subscriptions entered into during previous quarters. Consequently, shortfalls in demand for our services or declines in new or renewed subscriptions in any one quarter have in the past had, and may again in the future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Further,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spacing w:after="0" w:line="197"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b w:val="1"/>
          <w:bCs w:val="1"/>
          <w:i w:val="1"/>
          <w:iCs w:val="1"/>
          <w:color w:val="auto"/>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spacing w:after="0" w:line="15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6"/>
          <w:szCs w:val="16"/>
          <w:color w:val="auto"/>
        </w:rPr>
        <w:t>We track certain financial and operating metrics, including key business metrics such as number of transactions, number of subscription units and average revenue per subscription unit, with internal company data, systems and tools that are not independently verified by any third-party.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and we may be required to revise or cease reporting such metrics or figures. While the numbers we report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3" w:right="379" w:bottom="1440" w:gutter="0" w:footer="0" w:header="0"/>
        </w:sectPr>
      </w:pPr>
    </w:p>
    <w:bookmarkStart w:id="52" w:name="page53"/>
    <w:bookmarkEnd w:id="52"/>
    <w:p>
      <w:pPr>
        <w:ind w:right="40" w:firstLine="405"/>
        <w:spacing w:after="0" w:line="265" w:lineRule="auto"/>
        <w:rPr>
          <w:sz w:val="20"/>
          <w:szCs w:val="20"/>
          <w:color w:val="auto"/>
        </w:rPr>
      </w:pPr>
      <w:r>
        <w:rPr>
          <w:rFonts w:ascii="Arial" w:cs="Arial" w:eastAsia="Arial" w:hAnsi="Arial"/>
          <w:sz w:val="16"/>
          <w:szCs w:val="16"/>
          <w:color w:val="auto"/>
        </w:rPr>
        <w:t>In addition, limitations or errors with respect to how we measure data or with respect to the data itself may affect our understanding of certain details of our business, which could affect our long-term strategies. If our financial and operating metrics are not accurate representations of our business, or if investors do not perceive our operating metrics to be accurate, or if we discover material inaccuracies in our metrics, our reputation may be harmed, and our business, results of operations, financial condition and future prospects could be adversely affected.</w:t>
      </w:r>
    </w:p>
    <w:p>
      <w:pPr>
        <w:spacing w:after="0" w:line="188"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b w:val="1"/>
          <w:bCs w:val="1"/>
          <w:i w:val="1"/>
          <w:iCs w:val="1"/>
          <w:color w:val="auto"/>
        </w:rPr>
        <w:t>We have in the past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decline</w:t>
      </w:r>
    </w:p>
    <w:p>
      <w:pPr>
        <w:spacing w:after="0" w:line="174"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We are required to maintain internal control over financial reporting and to report any material weaknesses in such internal control. On an annual basis, we are required to furnish a report by management on the effectiveness of our internal control over financial reporting pursuant to Section 404 of the Sarbanes-Oxley Act and our independent registered public accounting firm is required to attest to the effectiveness of our internal control over financial reporting.</w:t>
      </w:r>
    </w:p>
    <w:p>
      <w:pPr>
        <w:spacing w:after="0" w:line="65"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Compiling the system and processing documentation necessary to perform the evaluation needed to comply with Section 404 is costly and challenging. Our compliance with Section 404 requires that we incur substantial accounting expense and expend significant management efforts. We have hired and may need to continue to hire additional accounting and financial staff with appropriate public company experience and technical accounting knowledge and compile the system and process documentation necessary to maintain effective internal control over financial reporting.</w:t>
      </w:r>
    </w:p>
    <w:p>
      <w:pPr>
        <w:spacing w:after="0" w:line="78"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We have found material weaknesses in our internal control over financial reporting in the past. Although we remediated our material weaknesses and management concluded that our internal control over financial reporting was effective as of December 31, 2025,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In addition, any future material weaknesses could result in the loss of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maintain effective control systems required of public companies could also restrict our future access to the capital markets.</w:t>
      </w:r>
    </w:p>
    <w:p>
      <w:pPr>
        <w:spacing w:after="0" w:line="182" w:lineRule="exact"/>
        <w:rPr>
          <w:sz w:val="20"/>
          <w:szCs w:val="20"/>
          <w:color w:val="auto"/>
        </w:rPr>
      </w:pPr>
    </w:p>
    <w:p>
      <w:pPr>
        <w:jc w:val="both"/>
        <w:ind w:right="300"/>
        <w:spacing w:after="0" w:line="279" w:lineRule="auto"/>
        <w:rPr>
          <w:sz w:val="20"/>
          <w:szCs w:val="20"/>
          <w:color w:val="auto"/>
        </w:rPr>
      </w:pPr>
      <w:r>
        <w:rPr>
          <w:rFonts w:ascii="Arial" w:cs="Arial" w:eastAsia="Arial" w:hAnsi="Arial"/>
          <w:sz w:val="16"/>
          <w:szCs w:val="16"/>
          <w:b w:val="1"/>
          <w:bCs w:val="1"/>
          <w:i w:val="1"/>
          <w:iCs w:val="1"/>
          <w:color w:val="auto"/>
        </w:rPr>
        <w:t>The agreement governing our revolving credit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spacing w:after="0" w:line="153"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The revolving facility that we entered into on July 2, 2021, or, as amended from time to time, the Amended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spacing w:after="0" w:line="78" w:lineRule="exact"/>
        <w:rPr>
          <w:sz w:val="20"/>
          <w:szCs w:val="20"/>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incur additional indebtedness and guarantee indebtedness;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create or incur liens;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pay dividends and distribute or repurchase capital stock;</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merge, liquidate and make asset sales;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 lines of business;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 our fiscal year;</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incur restrictions on our subsidiaries’ ability to make distributions and create liens;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modify our organizational documents;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make investments, loans and advances; and</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enter into certain transactions with affiliates.</w:t>
      </w:r>
    </w:p>
    <w:p>
      <w:pPr>
        <w:spacing w:after="0" w:line="127" w:lineRule="exact"/>
        <w:rPr>
          <w:sz w:val="20"/>
          <w:szCs w:val="20"/>
          <w:color w:val="auto"/>
        </w:rPr>
      </w:pPr>
    </w:p>
    <w:p>
      <w:pPr>
        <w:ind w:right="640" w:firstLine="405"/>
        <w:spacing w:after="0" w:line="286" w:lineRule="auto"/>
        <w:rPr>
          <w:sz w:val="20"/>
          <w:szCs w:val="20"/>
          <w:color w:val="auto"/>
        </w:rPr>
      </w:pPr>
      <w:r>
        <w:rPr>
          <w:rFonts w:ascii="Arial" w:cs="Arial" w:eastAsia="Arial" w:hAnsi="Arial"/>
          <w:sz w:val="16"/>
          <w:szCs w:val="16"/>
          <w:color w:val="auto"/>
        </w:rPr>
        <w:t>The Amended Revolving Facility also contains a financial covenant that requires us to maintain a total net first lien leverage ratio not to exceed 4.50:1.00 on the last day of any fiscal quarter during which our Amended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3" w:name="page54"/>
    <w:bookmarkEnd w:id="53"/>
    <w:p>
      <w:pPr>
        <w:ind w:right="60"/>
        <w:spacing w:after="0" w:line="265" w:lineRule="auto"/>
        <w:rPr>
          <w:sz w:val="20"/>
          <w:szCs w:val="20"/>
          <w:color w:val="auto"/>
        </w:rPr>
      </w:pPr>
      <w:r>
        <w:rPr>
          <w:rFonts w:ascii="Arial" w:cs="Arial" w:eastAsia="Arial" w:hAnsi="Arial"/>
          <w:sz w:val="16"/>
          <w:szCs w:val="16"/>
          <w:color w:val="auto"/>
        </w:rPr>
        <w:t>Revolving Facility usage exceeds 35% of the Amended Revolving Facility capacity. As a result of the restrictions described above, we may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78" w:lineRule="exact"/>
        <w:rPr>
          <w:sz w:val="20"/>
          <w:szCs w:val="20"/>
          <w:color w:val="auto"/>
        </w:rPr>
      </w:pPr>
    </w:p>
    <w:p>
      <w:pPr>
        <w:ind w:firstLine="405"/>
        <w:spacing w:after="0" w:line="258" w:lineRule="auto"/>
        <w:rPr>
          <w:sz w:val="20"/>
          <w:szCs w:val="20"/>
          <w:color w:val="auto"/>
        </w:rPr>
      </w:pPr>
      <w:r>
        <w:rPr>
          <w:rFonts w:ascii="Arial" w:cs="Arial" w:eastAsia="Arial" w:hAnsi="Arial"/>
          <w:sz w:val="16"/>
          <w:szCs w:val="16"/>
          <w:color w:val="auto"/>
        </w:rPr>
        <w:t>Our ability to comply with the covenants and restrictions contained in the Amended Revolving Facility may be affected by economic, financial and industry conditions beyond our control. The restrictions in the Amended Revolving Facility may prevent us from taking actions that we believe would be in the best interests of our business and may make it difficult for us to execute our business strategy successfully or effectively compete with companies that are not similarly restricted. Our failure to comply with the restrictive covenants and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Amended Revolving Facility on terms less favorable to us and could also trigger cross-default provisions in other contracts, potentially resulting in serious consequences to our business, results of operations, financial condition and future prospects, including bankruptcy or insolvency. Even if the Amended Revolving Facility is terminated, any additional debt that we incur in the future could subject us to similar or additional covenants.</w:t>
      </w:r>
    </w:p>
    <w:p>
      <w:pPr>
        <w:spacing w:after="0" w:line="69"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In addition, the Amended Revolving Facility also permits borrowings denominated in Euros, British pound sterling and other alternative currencies that may be approved by the administrative agent and revolving lenders. Any such non-U.S. dollar-denominated debt may not necessarily correspond to the cash flow we generate in such currencies.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fluctuations in interest rates</w:t>
      </w:r>
    </w:p>
    <w:p>
      <w:pPr>
        <w:spacing w:after="0" w:line="233" w:lineRule="exact"/>
        <w:rPr>
          <w:sz w:val="20"/>
          <w:szCs w:val="20"/>
          <w:color w:val="auto"/>
        </w:rPr>
      </w:pPr>
    </w:p>
    <w:p>
      <w:pPr>
        <w:ind w:right="40" w:firstLine="405"/>
        <w:spacing w:after="0" w:line="261" w:lineRule="auto"/>
        <w:rPr>
          <w:sz w:val="20"/>
          <w:szCs w:val="20"/>
          <w:color w:val="auto"/>
        </w:rPr>
      </w:pPr>
      <w:r>
        <w:rPr>
          <w:rFonts w:ascii="Arial" w:cs="Arial" w:eastAsia="Arial" w:hAnsi="Arial"/>
          <w:sz w:val="16"/>
          <w:szCs w:val="16"/>
          <w:color w:val="auto"/>
        </w:rPr>
        <w:t>Any borrowings under the Amended Revolving Facility will be subject to variable rates of interest and expose us to interest rate risk. Sharp changes in interest rates could adversely affect us if amounts are outstanding under the Amended Revolving Facility.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NOL carryforwards may be limited</w:t>
      </w:r>
    </w:p>
    <w:p>
      <w:pPr>
        <w:spacing w:after="0" w:line="219" w:lineRule="exact"/>
        <w:rPr>
          <w:sz w:val="20"/>
          <w:szCs w:val="20"/>
          <w:color w:val="auto"/>
        </w:rPr>
      </w:pPr>
    </w:p>
    <w:p>
      <w:pPr>
        <w:ind w:firstLine="405"/>
        <w:spacing w:after="0" w:line="258" w:lineRule="auto"/>
        <w:rPr>
          <w:sz w:val="20"/>
          <w:szCs w:val="20"/>
          <w:color w:val="auto"/>
        </w:rPr>
      </w:pPr>
      <w:r>
        <w:rPr>
          <w:rFonts w:ascii="Arial" w:cs="Arial" w:eastAsia="Arial" w:hAnsi="Arial"/>
          <w:sz w:val="16"/>
          <w:szCs w:val="16"/>
          <w:color w:val="auto"/>
        </w:rPr>
        <w:t>Unused U.S. federal net operating losses (“NOLs”) for taxable years beginning before January 1, 2018, may be carried forward for 20 years to offset future taxable income, if any, until such unused NOLs expire. U.S. federal NOLs incurred in taxable years beginning after December 31, 2017, can be carried forward indefinitely and are limited to 80% of taxable income. In addition, under Section 382 of the Internal Revenue Code of 1986, as amended,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post-change income or taxes may be limited. We have determined that none of our NOLs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 For example, California imposed limits on the usability of California NOLs to offset taxable income and certain business credits to offset California tax liabilities in tax years beginning after 2023 and before 2027.</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effective tax rate or tax liability may have an adverse effect on our results of operations</w:t>
      </w:r>
    </w:p>
    <w:p>
      <w:pPr>
        <w:spacing w:after="0" w:line="219" w:lineRule="exact"/>
        <w:rPr>
          <w:sz w:val="20"/>
          <w:szCs w:val="20"/>
          <w:color w:val="auto"/>
        </w:rPr>
      </w:pPr>
    </w:p>
    <w:p>
      <w:pPr>
        <w:ind w:right="180" w:firstLine="405"/>
        <w:spacing w:after="0" w:line="271" w:lineRule="auto"/>
        <w:rPr>
          <w:sz w:val="20"/>
          <w:szCs w:val="20"/>
          <w:color w:val="auto"/>
        </w:rPr>
      </w:pPr>
      <w:r>
        <w:rPr>
          <w:rFonts w:ascii="Arial" w:cs="Arial" w:eastAsia="Arial" w:hAnsi="Arial"/>
          <w:sz w:val="16"/>
          <w:szCs w:val="16"/>
          <w:color w:val="auto"/>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unaudited condensed consolidated financial statements and may affect our financial results in the period or periods in which such outcome is determined.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4" w:name="page55"/>
    <w:bookmarkEnd w:id="54"/>
    <w:p>
      <w:pPr>
        <w:ind w:left="420"/>
        <w:spacing w:after="0"/>
        <w:rPr>
          <w:sz w:val="20"/>
          <w:szCs w:val="20"/>
          <w:color w:val="auto"/>
        </w:rPr>
      </w:pPr>
      <w:r>
        <w:rPr>
          <w:rFonts w:ascii="Arial" w:cs="Arial" w:eastAsia="Arial" w:hAnsi="Arial"/>
          <w:sz w:val="16"/>
          <w:szCs w:val="16"/>
          <w:color w:val="auto"/>
        </w:rPr>
        <w:t>Our effective tax rate could increase due to several factors, including:</w:t>
      </w:r>
    </w:p>
    <w:p>
      <w:pPr>
        <w:spacing w:after="0" w:line="113" w:lineRule="exact"/>
        <w:rPr>
          <w:sz w:val="20"/>
          <w:szCs w:val="20"/>
          <w:color w:val="auto"/>
        </w:rPr>
      </w:pPr>
    </w:p>
    <w:p>
      <w:pPr>
        <w:ind w:left="720" w:hanging="297"/>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26" w:lineRule="exact"/>
        <w:rPr>
          <w:rFonts w:ascii="Arial" w:cs="Arial" w:eastAsia="Arial" w:hAnsi="Arial"/>
          <w:sz w:val="16"/>
          <w:szCs w:val="16"/>
          <w:color w:val="auto"/>
        </w:rPr>
      </w:pPr>
    </w:p>
    <w:p>
      <w:pPr>
        <w:ind w:left="740" w:right="320" w:hanging="317"/>
        <w:spacing w:after="0" w:line="286" w:lineRule="auto"/>
        <w:tabs>
          <w:tab w:leader="none" w:pos="7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 of them, including the Inflation Reduction Act of 2022 (the “IRA”) and the One Big Beautiful Bill Act (the “OBBBA”);</w:t>
      </w:r>
    </w:p>
    <w:p>
      <w:pPr>
        <w:spacing w:after="0" w:line="61" w:lineRule="exact"/>
        <w:rPr>
          <w:rFonts w:ascii="Arial" w:cs="Arial" w:eastAsia="Arial" w:hAnsi="Arial"/>
          <w:sz w:val="16"/>
          <w:szCs w:val="16"/>
          <w:color w:val="auto"/>
        </w:rPr>
      </w:pPr>
    </w:p>
    <w:p>
      <w:pPr>
        <w:ind w:left="740" w:right="60" w:hanging="317"/>
        <w:spacing w:after="0" w:line="286" w:lineRule="auto"/>
        <w:tabs>
          <w:tab w:leader="none" w:pos="7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47" w:lineRule="exact"/>
        <w:rPr>
          <w:rFonts w:ascii="Arial" w:cs="Arial" w:eastAsia="Arial" w:hAnsi="Arial"/>
          <w:sz w:val="16"/>
          <w:szCs w:val="16"/>
          <w:color w:val="auto"/>
        </w:rPr>
      </w:pPr>
    </w:p>
    <w:p>
      <w:pPr>
        <w:ind w:left="720" w:hanging="297"/>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outcome of current and future tax audits, examinations, or administrative appeals; and</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effects of acquisitions.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Any of these developments could adversely affect our results of operations.</w:t>
      </w:r>
    </w:p>
    <w:p>
      <w:pPr>
        <w:spacing w:after="0" w:line="23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41"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New tax laws, statutes, rules, regulations or ordinances could be enacted at any time. For example, the OBBBA, which was enacted into law in July 2025, includes significant changes to federal tax law. New tax laws, including the OBBBA, may affect our operating results and financial conditions. Further, existing tax laws, statutes, rules, regulations or ordinances could be interpreted differently, changed, modified, or repealed at any time. Any such enactment, interpretation, change, modification, or repeal could adversely affect us, possibly with retroactive effect.</w:t>
      </w:r>
    </w:p>
    <w:p>
      <w:pPr>
        <w:spacing w:after="0" w:line="78"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In addition, changes in the tax laws of foreign jurisdictions could arise as a result of changes to the global implementation of the Inclusive Framework on Base Erosion and Profit Shifting and Pillar Two Model Rules, announced by The Organization for Economic Cooperation and Development. This change, or any other changes in foreign tax laws, if enacted, could increase our tax obligations in the countries where we do business or require us to change the manner in which we operate our business.</w:t>
      </w:r>
    </w:p>
    <w:p>
      <w:pPr>
        <w:spacing w:after="0" w:line="65" w:lineRule="exact"/>
        <w:rPr>
          <w:sz w:val="20"/>
          <w:szCs w:val="20"/>
          <w:color w:val="auto"/>
        </w:rPr>
      </w:pPr>
    </w:p>
    <w:p>
      <w:pPr>
        <w:jc w:val="both"/>
        <w:ind w:right="380" w:firstLine="405"/>
        <w:spacing w:after="0" w:line="275" w:lineRule="auto"/>
        <w:rPr>
          <w:sz w:val="20"/>
          <w:szCs w:val="20"/>
          <w:color w:val="auto"/>
        </w:rPr>
      </w:pPr>
      <w:r>
        <w:rPr>
          <w:rFonts w:ascii="Arial" w:cs="Arial" w:eastAsia="Arial" w:hAnsi="Arial"/>
          <w:sz w:val="16"/>
          <w:szCs w:val="16"/>
          <w:color w:val="auto"/>
        </w:rPr>
        <w:t>Changes in corporate tax rates, the realization of net deferred tax assets, the taxation of foreign earnings and the deductibility of expenses, could potentially have a material impact on the value of our deferred tax assets, could result in significant one-time charges, and could increase our future tax expense.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Legal, Compliance and Regulatory Matters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services subject us to complex and evolving U.S. and foreign laws and regulations</w:t>
      </w:r>
    </w:p>
    <w:p>
      <w:pPr>
        <w:spacing w:after="0" w:line="219"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Our business involves providing services that meet the legal and other needs of our customers and, as a result, we are subject to a variety of complex and evolving government laws, rules and regulations, including but not limited to, laws and regulations related to labor, advertising, sales and marketing, deceptive trade practices, our subscription offerings and related billing, renewal and cancellation practices, virtual mail, legal document processing services, registered agent services, our legal plans, electronic funds transfer, consumer protection, AI, real estate, e-commerce, promotions, intellectual property (e.g., ownership, examination, registration and infringement), postal, anti-bribery and anti-corruption, insurance, foreign exchange controls and cash repatriation restrictions, anti-competition, environmental, health and safety, and other regulated activities. In recent years, there have been significant new and changing regulations in many of these areas and we expect continued heightened focus by the government on many of these areas. In addition, as we expand our products and services and evolve our business models, we may become subject to additional government regulation or increased regulatory scrutiny.</w:t>
      </w:r>
    </w:p>
    <w:p>
      <w:pPr>
        <w:spacing w:after="0" w:line="86" w:lineRule="exact"/>
        <w:rPr>
          <w:sz w:val="20"/>
          <w:szCs w:val="20"/>
          <w:color w:val="auto"/>
        </w:rPr>
      </w:pPr>
    </w:p>
    <w:p>
      <w:pPr>
        <w:ind w:firstLine="405"/>
        <w:spacing w:after="0" w:line="258" w:lineRule="auto"/>
        <w:rPr>
          <w:sz w:val="20"/>
          <w:szCs w:val="20"/>
          <w:color w:val="auto"/>
        </w:rPr>
      </w:pPr>
      <w:r>
        <w:rPr>
          <w:rFonts w:ascii="Arial" w:cs="Arial" w:eastAsia="Arial" w:hAnsi="Arial"/>
          <w:sz w:val="16"/>
          <w:szCs w:val="16"/>
          <w:color w:val="auto"/>
        </w:rPr>
        <w:t>The scope of the federal, state and local laws and regulations to which we are subject is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frequently evolving, and challenges to, changes in, or new interpretations of, such laws and regulations could restrict the types of products and services that we can offer or the prices we can charge or require us to significantly change the ways we currently structure our business and services. For instance, in March 2025, the Financial Crimes Enforcement Network issued an interim final rule removing the requirement for U.S. companies to file a beneficial ownership information report under the Corporate Transparency Act, which was first adopted in September 2022. The laws and regulations to which we are subject could also make it more difficult for us to convert our transactional customers to subscribers or attract new subscribers to grow our subscription services. We dedicate significant management time and expense to dealing with these issues and we expect that these issues will continue to be a significant focus as we expand into other services and jurisdictions.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55" w:name="page56"/>
    <w:bookmarkEnd w:id="55"/>
    <w:p>
      <w:pPr>
        <w:ind w:right="60" w:firstLine="405"/>
        <w:spacing w:after="0" w:line="259" w:lineRule="auto"/>
        <w:rPr>
          <w:sz w:val="20"/>
          <w:szCs w:val="20"/>
          <w:color w:val="auto"/>
        </w:rPr>
      </w:pPr>
      <w:r>
        <w:rPr>
          <w:rFonts w:ascii="Arial" w:cs="Arial" w:eastAsia="Arial" w:hAnsi="Arial"/>
          <w:sz w:val="16"/>
          <w:szCs w:val="16"/>
          <w:color w:val="auto"/>
        </w:rPr>
        <w:t>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employee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spacing w:after="0" w:line="182"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b w:val="1"/>
          <w:bCs w:val="1"/>
          <w:i w:val="1"/>
          <w:iCs w:val="1"/>
          <w:color w:val="auto"/>
        </w:rPr>
        <w:t>Our Arizona subsidiary, which is licensed as an alternative business structure (“ABS”), may not insulate us from claims of the unauthorized practice of law and is subject to restrictions under Arizona Code of Judicial Administration</w:t>
      </w:r>
    </w:p>
    <w:p>
      <w:pPr>
        <w:spacing w:after="0" w:line="129"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 Further, in the U.S., we are generally unable to hire attorneys as employees to provide legal advice directly to our customer, because we do not meet certain regulatory requirements, such as being exclusively owned by licensed attorneys. We are currently unable to acquire a license to practice law in most U.S. states, and laws, regulations and professional responsibility rules impose limitations on business transactions between attorneys and persons who are not licensed attorneys, including those related to the ethics of attorney fee-splitting and the corporate practice of law (“CPL”).</w:t>
      </w:r>
    </w:p>
    <w:p>
      <w:pPr>
        <w:spacing w:after="0" w:line="82" w:lineRule="exact"/>
        <w:rPr>
          <w:sz w:val="20"/>
          <w:szCs w:val="20"/>
          <w:color w:val="auto"/>
        </w:rPr>
      </w:pPr>
    </w:p>
    <w:p>
      <w:pPr>
        <w:ind w:right="60" w:firstLine="405"/>
        <w:spacing w:after="0" w:line="258" w:lineRule="auto"/>
        <w:rPr>
          <w:sz w:val="20"/>
          <w:szCs w:val="20"/>
          <w:color w:val="auto"/>
        </w:rPr>
      </w:pPr>
      <w:r>
        <w:rPr>
          <w:rFonts w:ascii="Arial" w:cs="Arial" w:eastAsia="Arial" w:hAnsi="Arial"/>
          <w:sz w:val="16"/>
          <w:szCs w:val="16"/>
          <w:color w:val="auto"/>
        </w:rPr>
        <w:t>However, Arizona currently permits non-lawyers to co-own law firms and other legal service operations. In September 2021, we received our license to operate our Arizona ABS, which employs and contracts with licensed attorneys to provide limited scope legal services to U.S.-based consumers who purchase such services on our websites. Our U.S. subsidiary, LZ Legal Services, LLC, which holds the license to operate the Arizona ABS,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CPL or UPL. The professional liability insurance held by our U.S. subsidiary and limiting its liability in accordance with its engagement letters with clients, may not insure or protect against all potential claims or sufficiently indemnify us or our U.S. subsidiary for all liability that may be incurred. Any liability, inclusive of the costs and expenses that may be incurred in defending any such claims, that exceeds our insurance coverage could have a material adverse effect on our business, results of operations, financial condition, or future prospects.</w:t>
      </w:r>
    </w:p>
    <w:p>
      <w:pPr>
        <w:spacing w:after="0" w:line="69"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In addition, under Section 7-209 of the Arizona Code of Judicial Administration (“ACJA”), there are restrictions on holding an interest of 10% or more in the issued share capital of a licensed ABS or the parent company of a licensed ABS. As our U.S. subsidiary is a licensed ABS for the purposes of the ACJA, these restrictions apply to any holder(s) of 10% or more of our common stock. Each “authorized person”, as defined in ACJA 702-9, including the members of our board of directors, could be required to file an ABS Authorized Person application with the Arizona Supreme Court when determined to be seeking a restricted interest. The Arizona Supreme Court may attach conditions to any authorization granted in respect to holding of a restricted interest.</w:t>
      </w:r>
    </w:p>
    <w:p>
      <w:pPr>
        <w:spacing w:after="0" w:line="64"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U.S. subsidiary’s licensed ABS status in the event any such contravention occurs. Any suspension or revocation of our U.S. subsidiary’s licensed ABS status would have a serious detrimental impact on our business, and, in such circumstances, we would seek to collaborate with the Arizona Supreme Court to minimize any resultant business disruption.</w:t>
      </w:r>
    </w:p>
    <w:p>
      <w:pPr>
        <w:spacing w:after="0" w:line="174" w:lineRule="exact"/>
        <w:rPr>
          <w:sz w:val="20"/>
          <w:szCs w:val="20"/>
          <w:color w:val="auto"/>
        </w:rPr>
      </w:pPr>
    </w:p>
    <w:p>
      <w:pPr>
        <w:ind w:right="820"/>
        <w:spacing w:after="0" w:line="294" w:lineRule="auto"/>
        <w:rPr>
          <w:sz w:val="20"/>
          <w:szCs w:val="20"/>
          <w:color w:val="auto"/>
        </w:rPr>
      </w:pPr>
      <w:r>
        <w:rPr>
          <w:rFonts w:ascii="Arial" w:cs="Arial" w:eastAsia="Arial" w:hAnsi="Arial"/>
          <w:sz w:val="16"/>
          <w:szCs w:val="16"/>
          <w:b w:val="1"/>
          <w:bCs w:val="1"/>
          <w:i w:val="1"/>
          <w:iCs w:val="1"/>
          <w:color w:val="auto"/>
        </w:rPr>
        <w:t>If the independent professionals who participate in our or our partners' networks, or otherwise work with LegalZoom as a consultant or contractor, are characterized as employees, we would be subject to employment and withholding liabilities and regulatory risks</w:t>
      </w:r>
    </w:p>
    <w:p>
      <w:pPr>
        <w:spacing w:after="0" w:line="155" w:lineRule="exact"/>
        <w:rPr>
          <w:sz w:val="20"/>
          <w:szCs w:val="20"/>
          <w:color w:val="auto"/>
        </w:rPr>
      </w:pPr>
    </w:p>
    <w:p>
      <w:pPr>
        <w:jc w:val="both"/>
        <w:ind w:right="140" w:firstLine="405"/>
        <w:spacing w:after="0" w:line="275" w:lineRule="auto"/>
        <w:rPr>
          <w:sz w:val="20"/>
          <w:szCs w:val="20"/>
          <w:color w:val="auto"/>
        </w:rPr>
      </w:pPr>
      <w:r>
        <w:rPr>
          <w:rFonts w:ascii="Arial" w:cs="Arial" w:eastAsia="Arial" w:hAnsi="Arial"/>
          <w:sz w:val="16"/>
          <w:szCs w:val="16"/>
          <w:color w:val="auto"/>
        </w:rPr>
        <w:t>We structure our relationships with the independent attorneys who participate in our and our partners' networks in a manner that we believe results in an independent contractor relationship, not an employee relationship. On the other hand, some of our intellectual property offerings are currently fulfilled by our or our subsidiaries’ own lawyers and fulfillment staff. We also use contractors, temporary employees and/or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6" w:name="page57"/>
    <w:bookmarkEnd w:id="56"/>
    <w:p>
      <w:pPr>
        <w:spacing w:after="0" w:line="257" w:lineRule="auto"/>
        <w:rPr>
          <w:sz w:val="20"/>
          <w:szCs w:val="20"/>
          <w:color w:val="auto"/>
        </w:rPr>
      </w:pPr>
      <w:r>
        <w:rPr>
          <w:rFonts w:ascii="Arial" w:cs="Arial" w:eastAsia="Arial" w:hAnsi="Arial"/>
          <w:sz w:val="16"/>
          <w:szCs w:val="16"/>
          <w:color w:val="auto"/>
        </w:rPr>
        <w:t>consultants as part of our operations.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who participate in our networks, or the other contractors and consultants used by us. If such regulatory authorities or state, federal or foreign courts were to determine that these attorneys or other contractors and consultants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individuals are our employees could have a material adverse effect on our business, results of operations, financial condition and future prospects. It is also possible that we could face claims of joint employment from the independent professionals who participate in our partner networks or from individuals working as a consultant, temporary employee, or contractor, if they were to pursue employment claims against LegalZoom. If a joint employment relationship is found to exist, joint liability for any successful claims would also likely exist.</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b w:val="1"/>
          <w:bCs w:val="1"/>
          <w:i w:val="1"/>
          <w:iCs w:val="1"/>
          <w:color w:val="auto"/>
        </w:rPr>
        <w:t>Compliance with U.S. and foreign privacy and data security requirements could result in additional costs and liabilities to us or inhibit our ability to collect and store data, and the failure to comply with such requirements could subject us to significant fines and penalties, which could adversely affect our business, financial condition and reputation</w:t>
      </w:r>
    </w:p>
    <w:p>
      <w:pPr>
        <w:spacing w:after="0" w:line="153"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In the ordinary course of business, we collect and otherwise process information from and about our customers and others, which include personal information and other data. As a result, aspects of our business are subject to laws, rules, regulations and other obligations (such as contracts and privacy notices) relating to privacy and the collection, use and security of personal information. In the United States, federal, state and local governments have enacted or introduced comprehensive data privacy laws and regulations, including the California Consumer Privacy Act of 2018. Many other U.S. states have enacted, or have proposed enacting, similar comprehensive privacy laws that impose certain obligations on covered businesses, including providing specific disclosures in privacy notices, conducting privacy and security assessments, obtaining consumer consent and affording residents with certain rights concerning their personal data. The exercise of these rights may impact our business and ability to provide our products and services. These state laws allow for statutory fines for noncompliance. Outside the U.S., an increasing number of laws, regulations and industry standards govern data privacy and security. For example, we are also subject to the European Union’s General Data Protection Regulation (“GDPR”) with respect to some portions of activities. In addition, we are subject to the terms of our privacy policies and obligations to third-parties related to privacy, data protection and information security.</w:t>
      </w:r>
    </w:p>
    <w:p>
      <w:pPr>
        <w:spacing w:after="0" w:line="74" w:lineRule="exact"/>
        <w:rPr>
          <w:sz w:val="20"/>
          <w:szCs w:val="20"/>
          <w:color w:val="auto"/>
        </w:rPr>
      </w:pPr>
    </w:p>
    <w:p>
      <w:pPr>
        <w:ind w:right="80" w:firstLine="405"/>
        <w:spacing w:after="0" w:line="275" w:lineRule="auto"/>
        <w:rPr>
          <w:sz w:val="20"/>
          <w:szCs w:val="20"/>
          <w:color w:val="auto"/>
        </w:rPr>
      </w:pPr>
      <w:r>
        <w:rPr>
          <w:rFonts w:ascii="Arial" w:cs="Arial" w:eastAsia="Arial" w:hAnsi="Arial"/>
          <w:sz w:val="16"/>
          <w:szCs w:val="16"/>
          <w:color w:val="auto"/>
        </w:rPr>
        <w:t>We publish privacy policies, marketing materials and other statements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70" w:lineRule="exact"/>
        <w:rPr>
          <w:sz w:val="20"/>
          <w:szCs w:val="20"/>
          <w:color w:val="auto"/>
        </w:rPr>
      </w:pPr>
    </w:p>
    <w:p>
      <w:pPr>
        <w:ind w:right="100" w:firstLine="405"/>
        <w:spacing w:after="0" w:line="256" w:lineRule="auto"/>
        <w:rPr>
          <w:sz w:val="20"/>
          <w:szCs w:val="20"/>
          <w:color w:val="auto"/>
        </w:rPr>
      </w:pPr>
      <w:r>
        <w:rPr>
          <w:rFonts w:ascii="Arial" w:cs="Arial" w:eastAsia="Arial" w:hAnsi="Arial"/>
          <w:sz w:val="16"/>
          <w:szCs w:val="16"/>
          <w:color w:val="auto"/>
        </w:rPr>
        <w:t>Any actual or perceived failure by us or third parties working on our behalf to comply with applicable privacy and data security laws, rules and regulations or related contractual or other obligations, or any perceived privacy rights violation, could lead to investigations, claims, and proceedings by governmental entities and private parties, damages for contract breaches, additional reporting obligations and other significant costs, penalties, and other liabilities, as well as harm to our reputation and market position. In addition, the global regulatory framework for privacy and data security issues is rapidly evolving and privacy and data security laws have been and may in the future be enacted by other U.S. states and countries in which we do business. As a result, interpretation of applicable privacy and data security laws, rules and regulations is ongoing, may not be fully determined at this time and may conflict across jurisdictions. In our efforts to meet the various data privacy obligations that apply to us, we have made and continue to make certain operational changes to our products and business practices. Preparing for and complying with these obligations requires significant time and resources and may necessitate further changes to our information technologies, systems, and practices and to those of our customers, and of any third parties that process personal information on our behalf. In addition, these obligations may require us to change our business model.</w:t>
      </w:r>
    </w:p>
    <w:p>
      <w:pPr>
        <w:spacing w:after="0" w:line="76"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Further, certain jurisdictions have enacted data localization laws and cross-border personal data transfer laws, which may make it more difficult for us to transfer personal data across jurisdictions (such as transferring or receiving personal data that originates in the EU or in other foreign jurisdictions). Existing mechanisms that facilitate cross-border personal data transfers may change or be invalidated. For example, the GDPR generally prohibits the transfer of personal information to countries outside of the European Economic Area that the European Commission does not consider to provide an adequate level of privacy and data security, such as the U.S., absent appropriate safeguards. In addition, certain countries outside Europe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57" w:name="page58"/>
    <w:bookmarkEnd w:id="57"/>
    <w:p>
      <w:pPr>
        <w:ind w:right="60"/>
        <w:spacing w:after="0" w:line="261" w:lineRule="auto"/>
        <w:rPr>
          <w:sz w:val="20"/>
          <w:szCs w:val="20"/>
          <w:color w:val="auto"/>
        </w:rPr>
      </w:pPr>
      <w:r>
        <w:rPr>
          <w:rFonts w:ascii="Arial" w:cs="Arial" w:eastAsia="Arial" w:hAnsi="Arial"/>
          <w:sz w:val="16"/>
          <w:szCs w:val="16"/>
          <w:color w:val="auto"/>
        </w:rPr>
        <w:t>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U.S. could significantly and negatively impact our business operations, limit our ability to collaborate with parties that are subject to cross-border data transfer or localization laws, or require us to increase our data processing capabilities and infrastructure in foreign jurisdictions at significant expense.</w:t>
      </w:r>
    </w:p>
    <w:p>
      <w:pPr>
        <w:spacing w:after="0" w:line="178" w:lineRule="exact"/>
        <w:rPr>
          <w:sz w:val="20"/>
          <w:szCs w:val="20"/>
          <w:color w:val="auto"/>
        </w:rPr>
      </w:pPr>
    </w:p>
    <w:p>
      <w:pPr>
        <w:ind w:right="460"/>
        <w:spacing w:after="0" w:line="274" w:lineRule="auto"/>
        <w:rPr>
          <w:sz w:val="20"/>
          <w:szCs w:val="20"/>
          <w:color w:val="auto"/>
        </w:rPr>
      </w:pPr>
      <w:r>
        <w:rPr>
          <w:rFonts w:ascii="Arial" w:cs="Arial" w:eastAsia="Arial" w:hAnsi="Arial"/>
          <w:sz w:val="16"/>
          <w:szCs w:val="16"/>
          <w:b w:val="1"/>
          <w:bCs w:val="1"/>
          <w:i w:val="1"/>
          <w:iCs w:val="1"/>
          <w:color w:val="auto"/>
        </w:rPr>
        <w:t>Breaches and other types of security incidents of our data, networks or systems, or those of the third parties with whom we work,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spacing w:after="0" w:line="157"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We collect, use, store, transmit and otherwise process data and information about our customers, employees and others, some of which are sensitive, personal and/or confidential. Any actual or perceived breach of our security measures or those of the third parties with whom we work could adversely affect our business, operations and future prospects. Circumvention of our security measures or those of our service providers may result in access, misappropriation, deletion, alteration, publication, modification or other compromise of our information or information security systems, which could cause interruptions in our business and operations, fraud or loss to third 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spacing w:after="0" w:line="69" w:lineRule="exact"/>
        <w:rPr>
          <w:sz w:val="20"/>
          <w:szCs w:val="20"/>
          <w:color w:val="auto"/>
        </w:rPr>
      </w:pPr>
    </w:p>
    <w:p>
      <w:pPr>
        <w:ind w:right="80" w:firstLine="405"/>
        <w:spacing w:after="0" w:line="258" w:lineRule="auto"/>
        <w:rPr>
          <w:sz w:val="20"/>
          <w:szCs w:val="20"/>
          <w:color w:val="auto"/>
        </w:rPr>
      </w:pPr>
      <w:r>
        <w:rPr>
          <w:rFonts w:ascii="Arial" w:cs="Arial" w:eastAsia="Arial" w:hAnsi="Arial"/>
          <w:sz w:val="16"/>
          <w:szCs w:val="16"/>
          <w:color w:val="auto"/>
        </w:rPr>
        <w:t>Our internal information systems, cloud-based computing services, and those of our current and any future service providers and third parties with whom we work are vulnerable to a variety of evolving threats. Cyberattacks and other malicious internet-based activity, such as computer malware, hacking and phishing attempts, continue to increase. In addition to traditional computer “hackers,” sophisticated nation-state and nation-state supported actors now engage in similar attacks (including advanced persistent threat intrusions). Other threats include malicious code (such as viruses, worms and ransomware), social engineering attacks (such as through deep fakes and phishing attacks, cyber extortion, personnel error or malfeasance (including theft and misuse), malware, denial-of-service attacks, supply-chain attacks, software bugs, information systems malfunctions and failures, data loss, and other similar threats are evolving. In particular, severe ransomware attacks are becoming increasingly prevalent and can lead to significant interruptions in our operations, ability to provide our products and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74" w:lineRule="exact"/>
        <w:rPr>
          <w:sz w:val="20"/>
          <w:szCs w:val="20"/>
          <w:color w:val="auto"/>
        </w:rPr>
      </w:pPr>
    </w:p>
    <w:p>
      <w:pPr>
        <w:ind w:firstLine="405"/>
        <w:spacing w:after="0" w:line="262" w:lineRule="auto"/>
        <w:rPr>
          <w:sz w:val="20"/>
          <w:szCs w:val="20"/>
          <w:color w:val="auto"/>
        </w:rPr>
      </w:pPr>
      <w:r>
        <w:rPr>
          <w:rFonts w:ascii="Arial" w:cs="Arial" w:eastAsia="Arial" w:hAnsi="Arial"/>
          <w:sz w:val="16"/>
          <w:szCs w:val="16"/>
          <w:color w:val="auto"/>
        </w:rPr>
        <w:t>We currently have a flexible-first work policy, which enables flexibility to work remotely and collaborate in offices. This policy, which results in a predominantly remote workforce, poses additional data security risks to our information technology systems and data, as our personnel work from home and utilize network connections outside our premises. Additionally, future or past business transactions, acquisitions or integrations, including our recent acquisition of Formation Nation, could expose us to additional cybersecurity risks and vulnerabilities, as our systems could be negatively affected by vulnerabilities present in acquired or integrated entities’ systems and technologies. Any of the previously identified or similar threats could cause a security breach or other interruption. A security breach or other interruption could result in unauthorized, unlawful, or accidental acquisition, modification, destruction, loss, alteration, encryption, disclosure of, or access to our sensitive information.</w:t>
      </w:r>
    </w:p>
    <w:p>
      <w:pPr>
        <w:spacing w:after="0" w:line="66" w:lineRule="exact"/>
        <w:rPr>
          <w:sz w:val="20"/>
          <w:szCs w:val="20"/>
          <w:color w:val="auto"/>
        </w:rPr>
      </w:pPr>
    </w:p>
    <w:p>
      <w:pPr>
        <w:ind w:right="40" w:firstLine="405"/>
        <w:spacing w:after="0" w:line="258" w:lineRule="auto"/>
        <w:rPr>
          <w:sz w:val="20"/>
          <w:szCs w:val="20"/>
          <w:color w:val="auto"/>
        </w:rPr>
      </w:pPr>
      <w:r>
        <w:rPr>
          <w:rFonts w:ascii="Arial" w:cs="Arial" w:eastAsia="Arial" w:hAnsi="Arial"/>
          <w:sz w:val="16"/>
          <w:szCs w:val="16"/>
          <w:color w:val="auto"/>
        </w:rPr>
        <w:t>We have in the past and may in the future expend significant resources or modify our business activities to try to protect against security breaches. In addition, certain data privacy and security obligations have required and may in the future require us to implement and maintain specific security measures, industry-standard or reasonable security measures to protect our information technology systems and sensitive information, including contractually. We cannot guarantee that our security measures to protect customer information and prevent data loss and other security breaches will be sufficient to protect against unauthorized access to, or other compromise of, personal information, or confidential, proprietary or otherwise sensitive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breaches that may remain undetected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for extended periods of time, which can substantially increase the potential for a material adverse impact resulting from the breach.</w:t>
      </w:r>
    </w:p>
    <w:p>
      <w:pPr>
        <w:spacing w:after="0" w:line="113" w:lineRule="exact"/>
        <w:rPr>
          <w:sz w:val="20"/>
          <w:szCs w:val="20"/>
          <w:color w:val="auto"/>
        </w:rPr>
      </w:pPr>
    </w:p>
    <w:p>
      <w:pPr>
        <w:ind w:right="160" w:firstLine="405"/>
        <w:spacing w:after="0" w:line="271" w:lineRule="auto"/>
        <w:rPr>
          <w:sz w:val="20"/>
          <w:szCs w:val="20"/>
          <w:color w:val="auto"/>
        </w:rPr>
      </w:pPr>
      <w:r>
        <w:rPr>
          <w:rFonts w:ascii="Arial" w:cs="Arial" w:eastAsia="Arial" w:hAnsi="Arial"/>
          <w:sz w:val="16"/>
          <w:szCs w:val="16"/>
          <w:color w:val="auto"/>
        </w:rPr>
        <w:t>Like many companies, we rely on service providers to operate critical business systems to process sensitive information in a variety of contexts, including, without limitation, providers of cloud-based infrastructure, employee email, customer service and other functions. We may share or receive sensitive information with or from third parties. Our ability to monitor these third parties’ information security practices is limited, and these third parties may not have adequate information security measures in place, which could lead to a breach in our information.</w:t>
      </w:r>
    </w:p>
    <w:p>
      <w:pPr>
        <w:spacing w:after="0" w:line="60" w:lineRule="exact"/>
        <w:rPr>
          <w:sz w:val="20"/>
          <w:szCs w:val="20"/>
          <w:color w:val="auto"/>
        </w:rPr>
      </w:pPr>
    </w:p>
    <w:p>
      <w:pPr>
        <w:ind w:right="80" w:firstLine="405"/>
        <w:spacing w:after="0" w:line="275" w:lineRule="auto"/>
        <w:rPr>
          <w:sz w:val="20"/>
          <w:szCs w:val="20"/>
          <w:color w:val="auto"/>
        </w:rPr>
      </w:pPr>
      <w:r>
        <w:rPr>
          <w:rFonts w:ascii="Arial" w:cs="Arial" w:eastAsia="Arial" w:hAnsi="Arial"/>
          <w:sz w:val="16"/>
          <w:szCs w:val="16"/>
          <w:color w:val="auto"/>
        </w:rPr>
        <w:t>If we, or third parties with whom we work, experience or are perceived to have experienced (in the past or future) a security breach, we may experience adverse consequences. While we may be entitled to damages if our service providers fail to satisfy their privacy or security-related obligations to us, any award or other recovery may be insufficient to cover our damages.</w:t>
      </w:r>
    </w:p>
    <w:p>
      <w:pPr>
        <w:spacing w:after="0" w:line="56"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We implement and maintain security measures designed to protect against security breaches and other compromise. However, there can be no assurance these measures will be effective. For example, we take steps designed to detect, mitigate and remediate vulnerabilities in our information systems (such as our hardware and software, including of third parties upon which we rely). We may not, however, detect and remediate all such vulnerabilities on a timely and effective basis. We may experience delays in developing and deploying remedial measures designed to address any such identified vulnerabilities. Vulnerabilities could be exploited and result in a security incident.</w:t>
      </w:r>
    </w:p>
    <w:p>
      <w:pPr>
        <w:spacing w:after="0" w:line="64" w:lineRule="exact"/>
        <w:rPr>
          <w:sz w:val="20"/>
          <w:szCs w:val="20"/>
          <w:color w:val="auto"/>
        </w:rPr>
      </w:pPr>
    </w:p>
    <w:p>
      <w:pPr>
        <w:ind w:right="140" w:firstLine="405"/>
        <w:spacing w:after="0" w:line="275" w:lineRule="auto"/>
        <w:rPr>
          <w:sz w:val="20"/>
          <w:szCs w:val="20"/>
          <w:color w:val="auto"/>
        </w:rPr>
      </w:pPr>
      <w:r>
        <w:rPr>
          <w:rFonts w:ascii="Arial" w:cs="Arial" w:eastAsia="Arial" w:hAnsi="Arial"/>
          <w:sz w:val="16"/>
          <w:szCs w:val="16"/>
          <w:color w:val="auto"/>
        </w:rPr>
        <w:t>We may expend significant resources or modify our business activities to try to protect against security incidents. Certain data privacy and security obligations may require us to implement and maintain specific security measures or industry-standard or reasonable security measures designed to protect our information technology systems and information.</w:t>
      </w:r>
    </w:p>
    <w:p>
      <w:pPr>
        <w:spacing w:after="0" w:line="56" w:lineRule="exact"/>
        <w:rPr>
          <w:sz w:val="20"/>
          <w:szCs w:val="20"/>
          <w:color w:val="auto"/>
        </w:rPr>
      </w:pPr>
    </w:p>
    <w:p>
      <w:pPr>
        <w:ind w:right="60" w:firstLine="405"/>
        <w:spacing w:after="0" w:line="258" w:lineRule="auto"/>
        <w:rPr>
          <w:sz w:val="20"/>
          <w:szCs w:val="20"/>
          <w:color w:val="auto"/>
        </w:rPr>
      </w:pPr>
      <w:r>
        <w:rPr>
          <w:rFonts w:ascii="Arial" w:cs="Arial" w:eastAsia="Arial" w:hAnsi="Arial"/>
          <w:sz w:val="16"/>
          <w:szCs w:val="16"/>
          <w:color w:val="auto"/>
        </w:rPr>
        <w:t>Applicable data privacy and security obligations may require us to notify relevant stakeholders, which may include affected individuals, regulatory authorities, or customers of security breaches. We operate in an industry that is prone to cyberattacks. We have experienced security breaches (such as unauthorized access to customer information) for which we may have been or were legally required to notify individuals, customers, regulators, the media and others. Data breach notification disclosures are costly, time consuming, and could lead to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spacing w:after="0" w:line="28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may not have adequate insurance coverage for security incidents or breaches, including fines, judgments, settlements, penalties, costs, attorney fees and other impacts that arise out of such breaches. We cannot assure you that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 to expand, grow our customer base, and process increasingly large amounts of sensitive information.</w:t>
      </w:r>
    </w:p>
    <w:p>
      <w:pPr>
        <w:spacing w:after="0" w:line="72" w:lineRule="exact"/>
        <w:rPr>
          <w:sz w:val="20"/>
          <w:szCs w:val="20"/>
          <w:color w:val="auto"/>
        </w:rPr>
      </w:pPr>
    </w:p>
    <w:p>
      <w:pPr>
        <w:ind w:right="300" w:firstLine="405"/>
        <w:spacing w:after="0" w:line="275" w:lineRule="auto"/>
        <w:rPr>
          <w:sz w:val="20"/>
          <w:szCs w:val="20"/>
          <w:color w:val="auto"/>
        </w:rPr>
      </w:pPr>
      <w:r>
        <w:rPr>
          <w:rFonts w:ascii="Arial" w:cs="Arial" w:eastAsia="Arial" w:hAnsi="Arial"/>
          <w:sz w:val="16"/>
          <w:szCs w:val="16"/>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Intellectual Property</w:t>
      </w:r>
    </w:p>
    <w:p>
      <w:pPr>
        <w:spacing w:after="0" w:line="223" w:lineRule="exact"/>
        <w:rPr>
          <w:sz w:val="20"/>
          <w:szCs w:val="20"/>
          <w:color w:val="auto"/>
        </w:rPr>
      </w:pPr>
    </w:p>
    <w:p>
      <w:pPr>
        <w:ind w:right="660"/>
        <w:spacing w:after="0" w:line="311" w:lineRule="auto"/>
        <w:rPr>
          <w:sz w:val="20"/>
          <w:szCs w:val="20"/>
          <w:color w:val="auto"/>
        </w:rPr>
      </w:pPr>
      <w:r>
        <w:rPr>
          <w:rFonts w:ascii="Arial" w:cs="Arial" w:eastAsia="Arial" w:hAnsi="Arial"/>
          <w:sz w:val="16"/>
          <w:szCs w:val="16"/>
          <w:b w:val="1"/>
          <w:bCs w:val="1"/>
          <w:i w:val="1"/>
          <w:iCs w:val="1"/>
          <w:color w:val="auto"/>
        </w:rPr>
        <w:t>Our use of open source software could negatively affect our proprietary technologies and our ability to offer and sell subscriptions to our products and could subject us to possible litigation</w:t>
      </w:r>
    </w:p>
    <w:p>
      <w:pPr>
        <w:spacing w:after="0" w:line="129" w:lineRule="exact"/>
        <w:rPr>
          <w:sz w:val="20"/>
          <w:szCs w:val="20"/>
          <w:color w:val="auto"/>
        </w:rPr>
      </w:pPr>
    </w:p>
    <w:p>
      <w:pPr>
        <w:jc w:val="both"/>
        <w:ind w:right="120" w:firstLine="405"/>
        <w:spacing w:after="0" w:line="265" w:lineRule="auto"/>
        <w:rPr>
          <w:sz w:val="20"/>
          <w:szCs w:val="20"/>
          <w:color w:val="auto"/>
        </w:rPr>
      </w:pPr>
      <w:r>
        <w:rPr>
          <w:rFonts w:ascii="Arial" w:cs="Arial" w:eastAsia="Arial" w:hAnsi="Arial"/>
          <w:sz w:val="16"/>
          <w:szCs w:val="16"/>
          <w:color w:val="auto"/>
        </w:rPr>
        <w:t>Certain of the technologies we currently use incorporate open source software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9" w:name="page60"/>
    <w:bookmarkEnd w:id="59"/>
    <w:p>
      <w:pPr>
        <w:ind w:right="20"/>
        <w:spacing w:after="0" w:line="257" w:lineRule="auto"/>
        <w:rPr>
          <w:sz w:val="20"/>
          <w:szCs w:val="20"/>
          <w:color w:val="auto"/>
        </w:rPr>
      </w:pPr>
      <w:r>
        <w:rPr>
          <w:rFonts w:ascii="Arial" w:cs="Arial" w:eastAsia="Arial" w:hAnsi="Arial"/>
          <w:sz w:val="16"/>
          <w:szCs w:val="16"/>
          <w:color w:val="auto"/>
        </w:rPr>
        <w:t>license granting third-parties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spacing w:after="0" w:line="181"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b w:val="1"/>
          <w:bCs w:val="1"/>
          <w:i w:val="1"/>
          <w:iCs w:val="1"/>
          <w:color w:val="auto"/>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spacing w:after="0" w:line="155"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We rely and expect to continue to rely on confidentiality and license agreements with our employees, consultants and third parties, and protection and enforcement of our intellectual property rights, including in our trademarks, copyrights, trade secrets and domain names. Third parties may knowingly or unknowingly infringe on or challenge our proprietary rights, and pending and future trademark or other intellectual property applications may not be approved and if approved, may be inadequate to prevent third parties from circumventing such intellectual property rights.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Ownership of Our Common Stock</w:t>
      </w:r>
    </w:p>
    <w:p>
      <w:pPr>
        <w:spacing w:after="0" w:line="237"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regardless of our operating performance, resulting in substantial losses for our investors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market price of our common stock may fluctuate significantly in response to numerous factors, many of which are beyond our control, including:</w:t>
      </w:r>
    </w:p>
    <w:p>
      <w:pPr>
        <w:spacing w:after="0" w:line="113" w:lineRule="exact"/>
        <w:rPr>
          <w:sz w:val="20"/>
          <w:szCs w:val="20"/>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actual or anticipated fluctuations in our revenue and results of operations;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successfully implement our strategic priorities;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operating and financial projections we may provide to the public, any changes in these projections or our failure to meet these projections;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integrate AI into our business and products and the potential impact of AI on the demand for our services;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or loss of customers;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fluctuations in product sales mix;</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our pricing strategy or those of our competitors;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involvement in any litigation;</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those of our competitors;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0" w:name="page61"/>
    <w:bookmarkEnd w:id="60"/>
    <w:p>
      <w:pPr>
        <w:ind w:left="720" w:hanging="297"/>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of technological innovations or new products or services offered by us or our competitors;</w:t>
      </w:r>
    </w:p>
    <w:p>
      <w:pPr>
        <w:spacing w:after="0" w:line="113" w:lineRule="exact"/>
        <w:rPr>
          <w:rFonts w:ascii="Arial" w:cs="Arial" w:eastAsia="Arial" w:hAnsi="Arial"/>
          <w:sz w:val="16"/>
          <w:szCs w:val="16"/>
          <w:color w:val="auto"/>
        </w:rPr>
      </w:pPr>
    </w:p>
    <w:p>
      <w:pPr>
        <w:ind w:left="740" w:right="960" w:hanging="317"/>
        <w:spacing w:after="0" w:line="304" w:lineRule="auto"/>
        <w:tabs>
          <w:tab w:leader="none" w:pos="7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or capital-raising activities or commitments;</w:t>
      </w:r>
    </w:p>
    <w:p>
      <w:pPr>
        <w:spacing w:after="0" w:line="33" w:lineRule="exact"/>
        <w:rPr>
          <w:rFonts w:ascii="Arial" w:cs="Arial" w:eastAsia="Arial" w:hAnsi="Arial"/>
          <w:sz w:val="16"/>
          <w:szCs w:val="16"/>
          <w:color w:val="auto"/>
        </w:rPr>
      </w:pPr>
    </w:p>
    <w:p>
      <w:pPr>
        <w:ind w:left="720" w:hanging="297"/>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126" w:lineRule="exact"/>
        <w:rPr>
          <w:rFonts w:ascii="Arial" w:cs="Arial" w:eastAsia="Arial" w:hAnsi="Arial"/>
          <w:sz w:val="16"/>
          <w:szCs w:val="16"/>
          <w:color w:val="auto"/>
        </w:rPr>
      </w:pPr>
    </w:p>
    <w:p>
      <w:pPr>
        <w:ind w:left="740" w:right="420" w:hanging="317"/>
        <w:spacing w:after="0" w:line="286" w:lineRule="auto"/>
        <w:tabs>
          <w:tab w:leader="none" w:pos="7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actions of securities analysts who initiate or maintain coverage of us, changes in financial estimates by any securities analysts who follow our company, or our failure to meet these estimates or investor expectations;</w:t>
      </w:r>
    </w:p>
    <w:p>
      <w:pPr>
        <w:spacing w:after="0" w:line="47" w:lineRule="exact"/>
        <w:rPr>
          <w:rFonts w:ascii="Arial" w:cs="Arial" w:eastAsia="Arial" w:hAnsi="Arial"/>
          <w:sz w:val="16"/>
          <w:szCs w:val="16"/>
          <w:color w:val="auto"/>
        </w:rPr>
      </w:pPr>
    </w:p>
    <w:p>
      <w:pPr>
        <w:ind w:left="720" w:hanging="297"/>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126" w:lineRule="exact"/>
        <w:rPr>
          <w:rFonts w:ascii="Arial" w:cs="Arial" w:eastAsia="Arial" w:hAnsi="Arial"/>
          <w:sz w:val="16"/>
          <w:szCs w:val="16"/>
          <w:color w:val="auto"/>
        </w:rPr>
      </w:pPr>
    </w:p>
    <w:p>
      <w:pPr>
        <w:ind w:left="740" w:right="120" w:hanging="317"/>
        <w:spacing w:after="0" w:line="265" w:lineRule="auto"/>
        <w:tabs>
          <w:tab w:leader="none" w:pos="7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technical factors in the public trading market for our common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w:t>
      </w:r>
    </w:p>
    <w:p>
      <w:pPr>
        <w:spacing w:after="0" w:line="64" w:lineRule="exact"/>
        <w:rPr>
          <w:rFonts w:ascii="Arial" w:cs="Arial" w:eastAsia="Arial" w:hAnsi="Arial"/>
          <w:sz w:val="16"/>
          <w:szCs w:val="16"/>
          <w:color w:val="auto"/>
        </w:rPr>
      </w:pPr>
    </w:p>
    <w:p>
      <w:pPr>
        <w:ind w:left="740" w:right="180" w:hanging="317"/>
        <w:spacing w:after="0" w:line="304" w:lineRule="auto"/>
        <w:tabs>
          <w:tab w:leader="none" w:pos="7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additional shares of our common stock or other securities being sold into the market by us or our existing stockholders or the anticipation of such sales;</w:t>
      </w:r>
    </w:p>
    <w:p>
      <w:pPr>
        <w:spacing w:after="0" w:line="33" w:lineRule="exact"/>
        <w:rPr>
          <w:rFonts w:ascii="Arial" w:cs="Arial" w:eastAsia="Arial" w:hAnsi="Arial"/>
          <w:sz w:val="16"/>
          <w:szCs w:val="16"/>
          <w:color w:val="auto"/>
        </w:rPr>
      </w:pPr>
    </w:p>
    <w:p>
      <w:pPr>
        <w:ind w:left="720" w:hanging="297"/>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113" w:lineRule="exact"/>
        <w:rPr>
          <w:rFonts w:ascii="Arial" w:cs="Arial" w:eastAsia="Arial" w:hAnsi="Arial"/>
          <w:sz w:val="16"/>
          <w:szCs w:val="16"/>
          <w:color w:val="auto"/>
        </w:rPr>
      </w:pPr>
    </w:p>
    <w:p>
      <w:pPr>
        <w:ind w:left="740" w:right="240" w:hanging="317"/>
        <w:spacing w:after="0" w:line="304" w:lineRule="auto"/>
        <w:tabs>
          <w:tab w:leader="none" w:pos="7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general macroeconomic, political, regulatory and market conditions, such as those related to recessionary fears, tariffs, inflation and/or elevated interest rates; and</w:t>
      </w:r>
    </w:p>
    <w:p>
      <w:pPr>
        <w:spacing w:after="0" w:line="33" w:lineRule="exact"/>
        <w:rPr>
          <w:rFonts w:ascii="Arial" w:cs="Arial" w:eastAsia="Arial" w:hAnsi="Arial"/>
          <w:sz w:val="16"/>
          <w:szCs w:val="16"/>
          <w:color w:val="auto"/>
        </w:rPr>
      </w:pPr>
    </w:p>
    <w:p>
      <w:pPr>
        <w:ind w:left="740" w:right="20" w:hanging="317"/>
        <w:spacing w:after="0" w:line="304" w:lineRule="auto"/>
        <w:tabs>
          <w:tab w:leader="none" w:pos="7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a public health pandemic or epidemic, bank failures, or responses to these events.</w:t>
      </w:r>
    </w:p>
    <w:p>
      <w:pPr>
        <w:spacing w:after="0" w:line="33"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In the past, companies that have experienced volatility in the market price of their stock have been subject to securities class action or other litigation or regulatory investigations. We may be the target of such litigation or investigations in the future, which could result in substantial costs and divert our management’s attention from other business concerns, which could adversely affect our business, results of operations, financial condition and future prospects.</w:t>
      </w:r>
    </w:p>
    <w:p>
      <w:pPr>
        <w:spacing w:after="0" w:line="188"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b w:val="1"/>
          <w:bCs w:val="1"/>
          <w:i w:val="1"/>
          <w:iCs w:val="1"/>
          <w:color w:val="auto"/>
        </w:rPr>
        <w:t>A significant portion of our total outstanding shares may be sold into the market in the near future, which could cause the market price of our common stock to drop significantly, even if our business is performing well</w:t>
      </w:r>
    </w:p>
    <w:p>
      <w:pPr>
        <w:spacing w:after="0" w:line="141" w:lineRule="exact"/>
        <w:rPr>
          <w:sz w:val="20"/>
          <w:szCs w:val="20"/>
          <w:color w:val="auto"/>
        </w:rPr>
      </w:pPr>
    </w:p>
    <w:p>
      <w:pPr>
        <w:ind w:right="60" w:firstLine="405"/>
        <w:spacing w:after="0" w:line="259"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At September 30, 2026, holders of approximately 55 million shares of our common stock are entitled to rights pursuant to an investors’ rights agreement, subject to some conditions, to require us to file registration statements covering their shares or to include their shares in registration statements that we may file for ourselves or other stockholders. If one or more of these holders of our common stock sells a large number of shares by exercising their registration rights, it has in the past and may in the future adversely affect the market price for our common stock. In addition, if we file a registration statement for the purposes of selling additional shares to raise capital and are required to include shares held by these holders pursuant to the exercise of their registration rights, our ability to raise capital may be impaired.</w:t>
      </w:r>
    </w:p>
    <w:p>
      <w:pPr>
        <w:spacing w:after="0" w:line="1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Concentration of ownership of our common stock among our existing executive officers, directors and other affiliates may prevent new investors from influencing significant corporate decisions</w:t>
      </w:r>
    </w:p>
    <w:p>
      <w:pPr>
        <w:spacing w:after="0" w:line="141" w:lineRule="exact"/>
        <w:rPr>
          <w:sz w:val="20"/>
          <w:szCs w:val="20"/>
          <w:color w:val="auto"/>
        </w:rPr>
      </w:pPr>
    </w:p>
    <w:p>
      <w:pPr>
        <w:ind w:right="40" w:firstLine="405"/>
        <w:spacing w:after="0" w:line="261" w:lineRule="auto"/>
        <w:rPr>
          <w:sz w:val="20"/>
          <w:szCs w:val="20"/>
          <w:color w:val="auto"/>
        </w:rPr>
      </w:pPr>
      <w:r>
        <w:rPr>
          <w:rFonts w:ascii="Arial" w:cs="Arial" w:eastAsia="Arial" w:hAnsi="Arial"/>
          <w:sz w:val="16"/>
          <w:szCs w:val="16"/>
          <w:color w:val="auto"/>
        </w:rPr>
        <w:t>Based upon shares of our common stock outstanding as of September 30, 2026, our executive officers, directors and other affiliates, in the aggregate, own shares, directly or indirectly, representing approximately 21% of our outstanding common stock. If our executive officers, directors and affiliates acted together, they may be able to significantly influence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1" w:name="page62"/>
    <w:bookmarkEnd w:id="61"/>
    <w:p>
      <w:pPr>
        <w:ind w:firstLine="405"/>
        <w:spacing w:after="0" w:line="259" w:lineRule="auto"/>
        <w:rPr>
          <w:sz w:val="20"/>
          <w:szCs w:val="20"/>
          <w:color w:val="auto"/>
        </w:rPr>
      </w:pPr>
      <w:r>
        <w:rPr>
          <w:rFonts w:ascii="Arial" w:cs="Arial" w:eastAsia="Arial" w:hAnsi="Arial"/>
          <w:sz w:val="16"/>
          <w:szCs w:val="16"/>
          <w:color w:val="auto"/>
        </w:rPr>
        <w:t>In addition, FPLZ I, L.P., FPLZ II, L.P. and their affiliated investment entities (collectively, “FP”) may have influence over management and control over matters requiring stockholder approval, including the annual election of directors and significant corporate transactions. Pursuant to a director nomination agreement previously entered into with FP, we will have the obligation to support the nomination of, and to cause our board of directors to include in the slate of nominees recommended to our stockholders for election, a number of designees equal to at least: (i) two individuals for so long as FP continuously beneficially owns shares of common stock representing at least 50% of the shares of common stock owned by FP immediately following our IPO and (ii) one individual for so long as FP continuously beneficially owns shares of common stock representing at least 25%, but less than 50% of the shares of common stock, owned by FP immediately following the completion of our IPO.</w:t>
      </w:r>
    </w:p>
    <w:p>
      <w:pPr>
        <w:spacing w:after="0" w:line="192"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spacing w:after="0" w:line="155" w:lineRule="exact"/>
        <w:rPr>
          <w:sz w:val="20"/>
          <w:szCs w:val="20"/>
          <w:color w:val="auto"/>
        </w:rPr>
      </w:pPr>
    </w:p>
    <w:p>
      <w:pPr>
        <w:ind w:right="40" w:firstLine="405"/>
        <w:spacing w:after="0" w:line="258" w:lineRule="auto"/>
        <w:rPr>
          <w:sz w:val="20"/>
          <w:szCs w:val="20"/>
          <w:color w:val="auto"/>
        </w:rPr>
      </w:pPr>
      <w:r>
        <w:rPr>
          <w:rFonts w:ascii="Arial" w:cs="Arial" w:eastAsia="Arial" w:hAnsi="Arial"/>
          <w:sz w:val="16"/>
          <w:szCs w:val="16"/>
          <w:color w:val="auto"/>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2" w:lineRule="exact"/>
        <w:rPr>
          <w:sz w:val="20"/>
          <w:szCs w:val="20"/>
          <w:color w:val="auto"/>
        </w:rPr>
      </w:pPr>
    </w:p>
    <w:p>
      <w:pPr>
        <w:ind w:left="720" w:hanging="297"/>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a classified board of directors such that not all members of the board are elected at one time;</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allow the authorized number of our directors to be changed only by resolution of our board of directors;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 the manner in which stockholders can remove directors from the board;</w:t>
      </w:r>
    </w:p>
    <w:p>
      <w:pPr>
        <w:spacing w:after="0" w:line="113" w:lineRule="exact"/>
        <w:rPr>
          <w:rFonts w:ascii="Arial" w:cs="Arial" w:eastAsia="Arial" w:hAnsi="Arial"/>
          <w:sz w:val="16"/>
          <w:szCs w:val="16"/>
          <w:color w:val="auto"/>
        </w:rPr>
      </w:pPr>
    </w:p>
    <w:p>
      <w:pPr>
        <w:ind w:left="740" w:right="280" w:hanging="317"/>
        <w:spacing w:after="0" w:line="286" w:lineRule="auto"/>
        <w:tabs>
          <w:tab w:leader="none" w:pos="7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advance notice requirements for stockholder proposals that can be acted on at stockholder meetings and nominations to our board of directors;</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 who may call stockholder meetings;</w:t>
      </w:r>
    </w:p>
    <w:p>
      <w:pPr>
        <w:spacing w:after="0" w:line="126" w:lineRule="exact"/>
        <w:rPr>
          <w:rFonts w:ascii="Arial" w:cs="Arial" w:eastAsia="Arial" w:hAnsi="Arial"/>
          <w:sz w:val="16"/>
          <w:szCs w:val="16"/>
          <w:color w:val="auto"/>
        </w:rPr>
      </w:pPr>
    </w:p>
    <w:p>
      <w:pPr>
        <w:jc w:val="both"/>
        <w:ind w:left="740" w:right="40" w:hanging="317"/>
        <w:spacing w:after="0" w:line="266" w:lineRule="auto"/>
        <w:tabs>
          <w:tab w:leader="none" w:pos="7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76" w:lineRule="exact"/>
        <w:rPr>
          <w:rFonts w:ascii="Arial" w:cs="Arial" w:eastAsia="Arial" w:hAnsi="Arial"/>
          <w:sz w:val="16"/>
          <w:szCs w:val="16"/>
          <w:color w:val="auto"/>
        </w:rPr>
      </w:pPr>
    </w:p>
    <w:p>
      <w:pPr>
        <w:ind w:left="740" w:right="280" w:hanging="317"/>
        <w:spacing w:after="0" w:line="286" w:lineRule="auto"/>
        <w:tabs>
          <w:tab w:leader="none" w:pos="7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the approval of the holders of at least 66 2/3% of the votes that all our stockholders would be entitled to cast to amend or repeal certain provisions of our charter or bylaws.</w:t>
      </w:r>
    </w:p>
    <w:p>
      <w:pPr>
        <w:spacing w:after="0" w:line="61" w:lineRule="exact"/>
        <w:rPr>
          <w:sz w:val="20"/>
          <w:szCs w:val="20"/>
          <w:color w:val="auto"/>
        </w:rPr>
      </w:pPr>
    </w:p>
    <w:p>
      <w:pPr>
        <w:ind w:right="20" w:firstLine="405"/>
        <w:spacing w:after="0" w:line="26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doctrine of “corporate opportunity” will not apply with respect to certain stockholders</w:t>
      </w:r>
    </w:p>
    <w:p>
      <w:pPr>
        <w:spacing w:after="0" w:line="155" w:lineRule="exact"/>
        <w:rPr>
          <w:sz w:val="20"/>
          <w:szCs w:val="20"/>
          <w:color w:val="auto"/>
        </w:rPr>
      </w:pPr>
    </w:p>
    <w:p>
      <w:pPr>
        <w:ind w:right="80" w:firstLine="405"/>
        <w:spacing w:after="0" w:line="260" w:lineRule="auto"/>
        <w:rPr>
          <w:sz w:val="20"/>
          <w:szCs w:val="20"/>
          <w:color w:val="auto"/>
        </w:rPr>
      </w:pPr>
      <w:r>
        <w:rPr>
          <w:rFonts w:ascii="Arial" w:cs="Arial" w:eastAsia="Arial" w:hAnsi="Arial"/>
          <w:sz w:val="16"/>
          <w:szCs w:val="16"/>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62" w:name="page63"/>
    <w:bookmarkEnd w:id="62"/>
    <w:p>
      <w:pPr>
        <w:ind w:right="80"/>
        <w:spacing w:after="0" w:line="258" w:lineRule="auto"/>
        <w:rPr>
          <w:sz w:val="20"/>
          <w:szCs w:val="20"/>
          <w:color w:val="auto"/>
        </w:rPr>
      </w:pPr>
      <w:r>
        <w:rPr>
          <w:rFonts w:ascii="Arial" w:cs="Arial" w:eastAsia="Arial" w:hAnsi="Arial"/>
          <w:sz w:val="16"/>
          <w:szCs w:val="16"/>
          <w:color w:val="auto"/>
        </w:rPr>
        <w:t>“corporate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spacing w:after="0" w:line="184"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53"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certain claims or causes of actions under Delaware statutory or common law.</w:t>
      </w:r>
    </w:p>
    <w:p>
      <w:pPr>
        <w:spacing w:after="0" w:line="78"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The provisions would not apply to suits brought to enforce a duty or liability created by the Exchange Act. Furthermore, Section 22 of the Securities Act of 1933, as amended,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any defendant to such complaint.</w:t>
      </w:r>
    </w:p>
    <w:p>
      <w:pPr>
        <w:spacing w:after="0" w:line="68" w:lineRule="exact"/>
        <w:rPr>
          <w:sz w:val="20"/>
          <w:szCs w:val="20"/>
          <w:color w:val="auto"/>
        </w:rPr>
      </w:pPr>
    </w:p>
    <w:p>
      <w:pPr>
        <w:ind w:right="240" w:firstLine="405"/>
        <w:spacing w:after="0" w:line="265" w:lineRule="auto"/>
        <w:rPr>
          <w:sz w:val="20"/>
          <w:szCs w:val="20"/>
          <w:color w:val="auto"/>
        </w:rPr>
      </w:pPr>
      <w:r>
        <w:rPr>
          <w:rFonts w:ascii="Arial" w:cs="Arial" w:eastAsia="Arial" w:hAnsi="Arial"/>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64" w:lineRule="exact"/>
        <w:rPr>
          <w:sz w:val="20"/>
          <w:szCs w:val="20"/>
          <w:color w:val="auto"/>
        </w:rPr>
      </w:pPr>
    </w:p>
    <w:p>
      <w:pPr>
        <w:ind w:right="240" w:firstLine="405"/>
        <w:spacing w:after="0" w:line="265"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Item 2. Unregistered Sales of Equity Securities, Use of Proceeds, and Issuer Purchases of Equity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Purchases of Equity Securities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October 2023, our board of directors approved a stock repurchase program authorizing repurchases of our common stock with no fixed expiration.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2026, our board of directors approved a $100.0 million increase in our stock repurchase program, bringing the aggregate amount authorized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$415.0 million. Stock repurchases under this program may be made through any manner, including in open market transactions (including pursuant to Rule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10b5-1 plans), through accelerated stock repurchase agreements, or in privately negotiated transactions with third parties, and in such amounts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management deems appropriate. This program does not obligate us to acquire any particular amount of common stock and may be modified, suspended or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terminated at any time at the discretion of our board of directors.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Stock repurchase activity during the three months ended September 30, 2026 was as follows:</w:t>
      </w:r>
    </w:p>
    <w:p>
      <w:pPr>
        <w:spacing w:after="0" w:line="146"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Approximate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Total Number of</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Dollar Value of</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9"/>
              </w:rPr>
              <w:t>Average Price</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Shares that May</w:t>
            </w:r>
          </w:p>
        </w:tc>
        <w:tc>
          <w:tcPr>
            <w:tcW w:w="0" w:type="dxa"/>
            <w:vAlign w:val="bottom"/>
          </w:tcPr>
          <w:p>
            <w:pPr>
              <w:spacing w:after="0"/>
              <w:rPr>
                <w:sz w:val="1"/>
                <w:szCs w:val="1"/>
                <w:color w:val="auto"/>
              </w:rPr>
            </w:pPr>
          </w:p>
        </w:tc>
      </w:tr>
      <w:tr>
        <w:trPr>
          <w:trHeight w:val="162"/>
        </w:trPr>
        <w:tc>
          <w:tcPr>
            <w:tcW w:w="4820" w:type="dxa"/>
            <w:vAlign w:val="bottom"/>
            <w:vMerge w:val="restart"/>
          </w:tcPr>
          <w:p>
            <w:pPr>
              <w:ind w:left="2160"/>
              <w:spacing w:after="0"/>
              <w:rPr>
                <w:sz w:val="20"/>
                <w:szCs w:val="20"/>
                <w:color w:val="auto"/>
              </w:rPr>
            </w:pPr>
            <w:r>
              <w:rPr>
                <w:rFonts w:ascii="Arial" w:cs="Arial" w:eastAsia="Arial" w:hAnsi="Arial"/>
                <w:sz w:val="16"/>
                <w:szCs w:val="16"/>
                <w:b w:val="1"/>
                <w:bCs w:val="1"/>
                <w:color w:val="auto"/>
              </w:rPr>
              <w:t>Period</w:t>
            </w:r>
          </w:p>
        </w:tc>
        <w:tc>
          <w:tcPr>
            <w:tcW w:w="14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rPr>
              <w:t>Shares</w:t>
            </w:r>
          </w:p>
        </w:tc>
        <w:tc>
          <w:tcPr>
            <w:tcW w:w="1320" w:type="dxa"/>
            <w:vAlign w:val="bottom"/>
            <w:gridSpan w:val="3"/>
            <w:vMerge w:val="continue"/>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Announced</w:t>
            </w:r>
          </w:p>
        </w:tc>
        <w:tc>
          <w:tcPr>
            <w:tcW w:w="80" w:type="dxa"/>
            <w:vAlign w:val="bottom"/>
          </w:tcPr>
          <w:p>
            <w:pPr>
              <w:spacing w:after="0"/>
              <w:rPr>
                <w:sz w:val="14"/>
                <w:szCs w:val="14"/>
                <w:color w:val="auto"/>
              </w:rPr>
            </w:pPr>
          </w:p>
        </w:tc>
        <w:tc>
          <w:tcPr>
            <w:tcW w:w="15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Yet be purchased</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Purchased</w:t>
            </w: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Paid per Share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Plans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39"/>
              <w:spacing w:after="0"/>
              <w:rPr>
                <w:sz w:val="20"/>
                <w:szCs w:val="20"/>
                <w:color w:val="auto"/>
              </w:rPr>
            </w:pPr>
            <w:r>
              <w:rPr>
                <w:rFonts w:ascii="Arial" w:cs="Arial" w:eastAsia="Arial" w:hAnsi="Arial"/>
                <w:sz w:val="16"/>
                <w:szCs w:val="16"/>
                <w:b w:val="1"/>
                <w:bCs w:val="1"/>
                <w:color w:val="auto"/>
              </w:rPr>
              <w:t>Under the Plans</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July 1, 2026 through July 31, 2026</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345,946</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345,946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78,090,838</w:t>
            </w: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August 1, 2026 through August 31, 2026</w:t>
            </w:r>
          </w:p>
        </w:tc>
        <w:tc>
          <w:tcPr>
            <w:tcW w:w="1360" w:type="dxa"/>
            <w:vAlign w:val="bottom"/>
          </w:tcPr>
          <w:p>
            <w:pPr>
              <w:jc w:val="right"/>
              <w:spacing w:after="0"/>
              <w:rPr>
                <w:sz w:val="20"/>
                <w:szCs w:val="20"/>
                <w:color w:val="auto"/>
              </w:rPr>
            </w:pPr>
            <w:r>
              <w:rPr>
                <w:rFonts w:ascii="Arial" w:cs="Arial" w:eastAsia="Arial" w:hAnsi="Arial"/>
                <w:sz w:val="16"/>
                <w:szCs w:val="16"/>
                <w:color w:val="auto"/>
              </w:rPr>
              <w:t>1,057,392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5.67</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1,057,392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72,090,843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 2026 through September 30, 2026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1,070,964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1,070,964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65,838,369</w:t>
            </w:r>
          </w:p>
        </w:tc>
        <w:tc>
          <w:tcPr>
            <w:tcW w:w="0" w:type="dxa"/>
            <w:vAlign w:val="bottom"/>
          </w:tcPr>
          <w:p>
            <w:pPr>
              <w:spacing w:after="0"/>
              <w:rPr>
                <w:sz w:val="1"/>
                <w:szCs w:val="1"/>
                <w:color w:val="auto"/>
              </w:rPr>
            </w:pPr>
          </w:p>
        </w:tc>
      </w:tr>
      <w:tr>
        <w:trPr>
          <w:trHeight w:val="210"/>
        </w:trPr>
        <w:tc>
          <w:tcPr>
            <w:tcW w:w="482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2,474,302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2,474,302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Item 6. Exhibits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exhibits listed below are filed or furnished as part of this Quarterly Report: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80" w:type="dxa"/>
            <w:vAlign w:val="bottom"/>
            <w:gridSpan w:val="11"/>
            <w:vMerge w:val="restart"/>
          </w:tcPr>
          <w:p>
            <w:pPr>
              <w:jc w:val="center"/>
              <w:ind w:right="38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12"/>
        </w:trPr>
        <w:tc>
          <w:tcPr>
            <w:tcW w:w="9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80" w:type="dxa"/>
            <w:vAlign w:val="bottom"/>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0" w:type="dxa"/>
            <w:vAlign w:val="bottom"/>
            <w:tcBorders>
              <w:top w:val="single" w:sz="8" w:color="auto"/>
            </w:tcBorders>
            <w:gridSpan w:val="4"/>
          </w:tcPr>
          <w:p>
            <w:pPr>
              <w:jc w:val="right"/>
              <w:ind w:right="260"/>
              <w:spacing w:after="0" w:line="169" w:lineRule="exact"/>
              <w:rPr>
                <w:sz w:val="20"/>
                <w:szCs w:val="20"/>
                <w:color w:val="auto"/>
              </w:rPr>
            </w:pPr>
            <w:r>
              <w:rPr>
                <w:rFonts w:ascii="Arial" w:cs="Arial" w:eastAsia="Arial" w:hAnsi="Arial"/>
                <w:sz w:val="16"/>
                <w:szCs w:val="16"/>
                <w:color w:val="auto"/>
              </w:rPr>
              <w:t>3.1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840" w:type="dxa"/>
            <w:vAlign w:val="bottom"/>
            <w:tcBorders>
              <w:top w:val="single" w:sz="8" w:color="auto"/>
            </w:tcBorders>
            <w:gridSpan w:val="12"/>
          </w:tcPr>
          <w:p>
            <w:pPr>
              <w:spacing w:after="0" w:line="169" w:lineRule="exact"/>
              <w:rPr>
                <w:rFonts w:ascii="Arial" w:cs="Arial" w:eastAsia="Arial" w:hAnsi="Arial"/>
                <w:sz w:val="16"/>
                <w:szCs w:val="16"/>
                <w:color w:val="auto"/>
              </w:rPr>
            </w:pPr>
            <w:hyperlink r:id="rId84">
              <w:r>
                <w:rPr>
                  <w:rFonts w:ascii="Arial" w:cs="Arial" w:eastAsia="Arial" w:hAnsi="Arial"/>
                  <w:sz w:val="16"/>
                  <w:szCs w:val="16"/>
                  <w:color w:val="auto"/>
                </w:rPr>
                <w:t xml:space="preserve">Amended and Restated Certificate of Incorporation of LegalZoom.com, Inc. </w:t>
              </w:r>
              <w:r>
                <w:rPr>
                  <w:rFonts w:ascii="Arial" w:cs="Arial" w:eastAsia="Arial" w:hAnsi="Arial"/>
                  <w:sz w:val="16"/>
                  <w:szCs w:val="16"/>
                  <w:color w:val="0000FF"/>
                </w:rPr>
                <w:t>(incorporated by reference to Exhibit 3.1 to the</w:t>
              </w:r>
            </w:hyperlink>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gridSpan w:val="5"/>
          </w:tcPr>
          <w:p>
            <w:pPr>
              <w:spacing w:after="0" w:line="155" w:lineRule="exact"/>
              <w:rPr>
                <w:rFonts w:ascii="Arial" w:cs="Arial" w:eastAsia="Arial" w:hAnsi="Arial"/>
                <w:sz w:val="16"/>
                <w:szCs w:val="16"/>
                <w:color w:val="0000FF"/>
              </w:rPr>
            </w:pPr>
            <w:hyperlink r:id="rId84">
              <w:r>
                <w:rPr>
                  <w:rFonts w:ascii="Arial" w:cs="Arial" w:eastAsia="Arial" w:hAnsi="Arial"/>
                  <w:sz w:val="16"/>
                  <w:szCs w:val="16"/>
                  <w:color w:val="0000FF"/>
                </w:rPr>
                <w:t>Company’s Current Report on Form 8-K filed with the SEC on July 2, 2021)</w:t>
              </w:r>
              <w:r>
                <w:rPr>
                  <w:rFonts w:ascii="Arial" w:cs="Arial" w:eastAsia="Arial" w:hAnsi="Arial"/>
                  <w:sz w:val="16"/>
                  <w:szCs w:val="16"/>
                  <w:color w:val="000000"/>
                </w:rPr>
                <w:t>.</w:t>
              </w:r>
            </w:hyperlink>
          </w:p>
        </w:tc>
        <w:tc>
          <w:tcPr>
            <w:tcW w:w="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40" w:type="dxa"/>
            <w:vAlign w:val="bottom"/>
            <w:gridSpan w:val="12"/>
          </w:tcPr>
          <w:p>
            <w:pPr>
              <w:spacing w:after="0"/>
              <w:rPr>
                <w:rFonts w:ascii="Arial" w:cs="Arial" w:eastAsia="Arial" w:hAnsi="Arial"/>
                <w:sz w:val="16"/>
                <w:szCs w:val="16"/>
                <w:color w:val="auto"/>
              </w:rPr>
            </w:pPr>
            <w:hyperlink r:id="rId85">
              <w:r>
                <w:rPr>
                  <w:rFonts w:ascii="Arial" w:cs="Arial" w:eastAsia="Arial" w:hAnsi="Arial"/>
                  <w:sz w:val="16"/>
                  <w:szCs w:val="16"/>
                  <w:color w:val="auto"/>
                </w:rPr>
                <w:t>Amended and Restated Bylaws of LegalZoom.com, Inc. (</w:t>
              </w:r>
              <w:r>
                <w:rPr>
                  <w:rFonts w:ascii="Arial" w:cs="Arial" w:eastAsia="Arial" w:hAnsi="Arial"/>
                  <w:sz w:val="16"/>
                  <w:szCs w:val="16"/>
                  <w:color w:val="0000FF"/>
                </w:rPr>
                <w:t>incorporated by reference to</w:t>
              </w:r>
              <w:r>
                <w:rPr>
                  <w:rFonts w:ascii="Arial" w:cs="Arial" w:eastAsia="Arial" w:hAnsi="Arial"/>
                  <w:sz w:val="16"/>
                  <w:szCs w:val="16"/>
                  <w:color w:val="auto"/>
                </w:rPr>
                <w:t xml:space="preserve"> </w:t>
              </w:r>
              <w:r>
                <w:rPr>
                  <w:rFonts w:ascii="Arial" w:cs="Arial" w:eastAsia="Arial" w:hAnsi="Arial"/>
                  <w:sz w:val="16"/>
                  <w:szCs w:val="16"/>
                  <w:color w:val="0000FF"/>
                  <w:highlight w:val="white"/>
                </w:rPr>
                <w:t>Exhibit 3.1 to the Company’s Current</w:t>
              </w:r>
            </w:hyperlink>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tcBorders>
              <w:bottom w:val="single" w:sz="8" w:color="0000FF"/>
            </w:tcBorders>
            <w:gridSpan w:val="2"/>
          </w:tcPr>
          <w:p>
            <w:pPr>
              <w:spacing w:after="0" w:line="142" w:lineRule="exact"/>
              <w:rPr>
                <w:rFonts w:ascii="Arial" w:cs="Arial" w:eastAsia="Arial" w:hAnsi="Arial"/>
                <w:sz w:val="16"/>
                <w:szCs w:val="16"/>
                <w:color w:val="0000FF"/>
                <w:highlight w:val="white"/>
              </w:rPr>
            </w:pPr>
            <w:hyperlink r:id="rId85">
              <w:r>
                <w:rPr>
                  <w:rFonts w:ascii="Arial" w:cs="Arial" w:eastAsia="Arial" w:hAnsi="Arial"/>
                  <w:sz w:val="16"/>
                  <w:szCs w:val="16"/>
                  <w:color w:val="0000FF"/>
                  <w:highlight w:val="white"/>
                </w:rPr>
                <w:t>Report on Form 8-K filed with the SEC on November 6, 2024</w:t>
              </w:r>
            </w:hyperlink>
          </w:p>
        </w:tc>
        <w:tc>
          <w:tcPr>
            <w:tcW w:w="1040" w:type="dxa"/>
            <w:vAlign w:val="bottom"/>
            <w:tcBorders>
              <w:top w:val="single" w:sz="8" w:color="0000FF"/>
            </w:tcBorders>
            <w:gridSpan w:val="2"/>
          </w:tcPr>
          <w:p>
            <w:pPr>
              <w:jc w:val="center"/>
              <w:ind w:right="920"/>
              <w:spacing w:after="0" w:line="142" w:lineRule="exact"/>
              <w:rPr>
                <w:rFonts w:ascii="Arial" w:cs="Arial" w:eastAsia="Arial" w:hAnsi="Arial"/>
                <w:sz w:val="16"/>
                <w:szCs w:val="16"/>
                <w:color w:val="auto"/>
                <w:w w:val="81"/>
              </w:rPr>
            </w:pPr>
            <w:hyperlink r:id="rId85">
              <w:r>
                <w:rPr>
                  <w:rFonts w:ascii="Arial" w:cs="Arial" w:eastAsia="Arial" w:hAnsi="Arial"/>
                  <w:sz w:val="16"/>
                  <w:szCs w:val="16"/>
                  <w:color w:val="auto"/>
                  <w:w w:val="81"/>
                </w:rPr>
                <w:t>).</w:t>
              </w:r>
            </w:hyperlink>
          </w:p>
        </w:tc>
        <w:tc>
          <w:tcPr>
            <w:tcW w:w="60" w:type="dxa"/>
            <w:vAlign w:val="bottom"/>
            <w:tcBorders>
              <w:top w:val="single" w:sz="8" w:color="0000FF"/>
            </w:tcBorders>
            <w:gridSpan w:val="2"/>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0" w:type="dxa"/>
            <w:vAlign w:val="bottom"/>
            <w:gridSpan w:val="2"/>
          </w:tcPr>
          <w:p>
            <w:pPr>
              <w:spacing w:after="0"/>
              <w:rPr>
                <w:sz w:val="17"/>
                <w:szCs w:val="17"/>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gridSpan w:val="12"/>
          </w:tcPr>
          <w:p>
            <w:pPr>
              <w:spacing w:after="0"/>
              <w:rPr>
                <w:sz w:val="20"/>
                <w:szCs w:val="20"/>
                <w:color w:val="auto"/>
              </w:rPr>
            </w:pPr>
            <w:r>
              <w:rPr>
                <w:rFonts w:ascii="Arial" w:cs="Arial" w:eastAsia="Arial" w:hAnsi="Arial"/>
                <w:sz w:val="16"/>
                <w:szCs w:val="16"/>
                <w:color w:val="0000FF"/>
              </w:rPr>
              <w:t>Certification of Chief Executive Officer pursuant to Rule 13a-14(a)/15d-14(a)</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4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gridSpan w:val="2"/>
          </w:tcPr>
          <w:p>
            <w:pPr>
              <w:spacing w:after="0"/>
              <w:rPr>
                <w:sz w:val="18"/>
                <w:szCs w:val="18"/>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2</w:t>
            </w:r>
            <w:r>
              <w:rPr>
                <w:rFonts w:ascii="Arial" w:cs="Arial" w:eastAsia="Arial" w:hAnsi="Arial"/>
                <w:sz w:val="16"/>
                <w:szCs w:val="16"/>
                <w:color w:val="000000"/>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2"/>
          </w:tcPr>
          <w:p>
            <w:pPr>
              <w:spacing w:after="0"/>
              <w:rPr>
                <w:sz w:val="20"/>
                <w:szCs w:val="20"/>
                <w:color w:val="auto"/>
              </w:rPr>
            </w:pPr>
            <w:r>
              <w:rPr>
                <w:rFonts w:ascii="Arial" w:cs="Arial" w:eastAsia="Arial" w:hAnsi="Arial"/>
                <w:sz w:val="16"/>
                <w:szCs w:val="16"/>
                <w:color w:val="0000FF"/>
              </w:rPr>
              <w:t>Certification of Chief Financial Officer pursuant to Rule 13a-14(a)/15d-14(a)</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40" w:type="dxa"/>
            <w:vAlign w:val="bottom"/>
            <w:gridSpan w:val="3"/>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4"/>
          </w:tcPr>
          <w:p>
            <w:pPr>
              <w:jc w:val="center"/>
              <w:spacing w:after="0"/>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2"/>
          </w:tcPr>
          <w:p>
            <w:pPr>
              <w:spacing w:after="0"/>
              <w:rPr>
                <w:sz w:val="20"/>
                <w:szCs w:val="20"/>
                <w:color w:val="auto"/>
              </w:rPr>
            </w:pPr>
            <w:r>
              <w:rPr>
                <w:rFonts w:ascii="Arial" w:cs="Arial" w:eastAsia="Arial" w:hAnsi="Arial"/>
                <w:sz w:val="16"/>
                <w:szCs w:val="16"/>
                <w:color w:val="0000FF"/>
              </w:rPr>
              <w:t>Certification of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
          </w:tcPr>
          <w:p>
            <w:pPr>
              <w:spacing w:after="0" w:line="155" w:lineRule="exact"/>
              <w:rPr>
                <w:sz w:val="20"/>
                <w:szCs w:val="20"/>
                <w:color w:val="auto"/>
              </w:rPr>
            </w:pPr>
            <w:r>
              <w:rPr>
                <w:rFonts w:ascii="Arial" w:cs="Arial" w:eastAsia="Arial" w:hAnsi="Arial"/>
                <w:sz w:val="16"/>
                <w:szCs w:val="16"/>
                <w:color w:val="0000FF"/>
              </w:rPr>
              <w:t>2002</w:t>
            </w:r>
            <w:r>
              <w:rPr>
                <w:rFonts w:ascii="Arial" w:cs="Arial" w:eastAsia="Arial" w:hAnsi="Arial"/>
                <w:sz w:val="16"/>
                <w:szCs w:val="16"/>
                <w:color w:val="000000"/>
              </w:rPr>
              <w:t>.</w:t>
            </w:r>
          </w:p>
        </w:tc>
        <w:tc>
          <w:tcPr>
            <w:tcW w:w="10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920" w:right="1119" w:hanging="642"/>
        <w:spacing w:after="0" w:line="241" w:lineRule="auto"/>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following financial statements from our Quarterly Report on Form 10-Q for the three and nine months ended September 30, 2026 were formatted in Inline XBRL: (i) Condensed Consolidated Balance Sheets, (ii) Condensed Consolidated Statements of Operations, (iii) Condensed Consolidated Statements of Comprehensive Income, (iv)</w:t>
      </w:r>
    </w:p>
    <w:p>
      <w:pPr>
        <w:spacing w:after="0" w:line="1"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Condensed Consolidated Statement of Stockholders’ Equity, (v) Condensed Consolidated Statements of Cash Flows.</w:t>
      </w:r>
    </w:p>
    <w:p>
      <w:pPr>
        <w:spacing w:after="0" w:line="4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in Inline XBRL and contained in Exhibit 101).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31"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9"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51" w:right="1440" w:bottom="1440" w:gutter="0" w:footer="0" w:header="0"/>
        </w:sectPr>
      </w:pPr>
    </w:p>
    <w:bookmarkStart w:id="65" w:name="page66"/>
    <w:bookmarkEnd w:id="65"/>
    <w:p>
      <w:pPr>
        <w:ind w:left="5420"/>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right="560" w:firstLine="405"/>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3"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4080" w:type="dxa"/>
            <w:vAlign w:val="bottom"/>
          </w:tcPr>
          <w:p>
            <w:pPr>
              <w:spacing w:after="0"/>
              <w:rPr>
                <w:sz w:val="19"/>
                <w:szCs w:val="19"/>
                <w:color w:val="auto"/>
              </w:rPr>
            </w:pPr>
          </w:p>
        </w:tc>
        <w:tc>
          <w:tcPr>
            <w:tcW w:w="6920" w:type="dxa"/>
            <w:vAlign w:val="bottom"/>
            <w:gridSpan w:val="2"/>
          </w:tcPr>
          <w:p>
            <w:pPr>
              <w:ind w:left="2300"/>
              <w:spacing w:after="0"/>
              <w:rPr>
                <w:sz w:val="20"/>
                <w:szCs w:val="20"/>
                <w:color w:val="auto"/>
              </w:rPr>
            </w:pPr>
            <w:r>
              <w:rPr>
                <w:rFonts w:ascii="Arial" w:cs="Arial" w:eastAsia="Arial" w:hAnsi="Arial"/>
                <w:sz w:val="16"/>
                <w:szCs w:val="16"/>
                <w:b w:val="1"/>
                <w:bCs w:val="1"/>
                <w:color w:val="auto"/>
              </w:rPr>
              <w:t>LegalZoom.com, Inc.</w:t>
            </w:r>
          </w:p>
        </w:tc>
      </w:tr>
      <w:tr>
        <w:trPr>
          <w:trHeight w:val="385"/>
        </w:trPr>
        <w:tc>
          <w:tcPr>
            <w:tcW w:w="4080" w:type="dxa"/>
            <w:vAlign w:val="bottom"/>
          </w:tcPr>
          <w:p>
            <w:pPr>
              <w:spacing w:after="0"/>
              <w:rPr>
                <w:sz w:val="20"/>
                <w:szCs w:val="20"/>
                <w:color w:val="auto"/>
              </w:rPr>
            </w:pPr>
            <w:r>
              <w:rPr>
                <w:rFonts w:ascii="Arial" w:cs="Arial" w:eastAsia="Arial" w:hAnsi="Arial"/>
                <w:sz w:val="16"/>
                <w:szCs w:val="16"/>
                <w:color w:val="auto"/>
              </w:rPr>
              <w:t>Date: November 4, 2026</w:t>
            </w:r>
          </w:p>
        </w:tc>
        <w:tc>
          <w:tcPr>
            <w:tcW w:w="2820" w:type="dxa"/>
            <w:vAlign w:val="bottom"/>
          </w:tcPr>
          <w:p>
            <w:pPr>
              <w:ind w:left="2300"/>
              <w:spacing w:after="0"/>
              <w:rPr>
                <w:sz w:val="20"/>
                <w:szCs w:val="20"/>
                <w:color w:val="auto"/>
              </w:rPr>
            </w:pPr>
            <w:r>
              <w:rPr>
                <w:rFonts w:ascii="Arial" w:cs="Arial" w:eastAsia="Arial" w:hAnsi="Arial"/>
                <w:sz w:val="16"/>
                <w:szCs w:val="16"/>
                <w:color w:val="auto"/>
              </w:rPr>
              <w:t>By:</w:t>
            </w: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Jeffrey Stibel</w:t>
            </w:r>
          </w:p>
        </w:tc>
      </w:tr>
      <w:tr>
        <w:trPr>
          <w:trHeight w:val="209"/>
        </w:trPr>
        <w:tc>
          <w:tcPr>
            <w:tcW w:w="40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Jeffrey Stibel</w:t>
            </w:r>
          </w:p>
        </w:tc>
      </w:tr>
      <w:tr>
        <w:trPr>
          <w:trHeight w:val="215"/>
        </w:trPr>
        <w:tc>
          <w:tcPr>
            <w:tcW w:w="40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216"/>
        </w:trPr>
        <w:tc>
          <w:tcPr>
            <w:tcW w:w="40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r>
      <w:tr>
        <w:trPr>
          <w:trHeight w:val="474"/>
        </w:trPr>
        <w:tc>
          <w:tcPr>
            <w:tcW w:w="4080" w:type="dxa"/>
            <w:vAlign w:val="bottom"/>
          </w:tcPr>
          <w:p>
            <w:pPr>
              <w:spacing w:after="0"/>
              <w:rPr>
                <w:sz w:val="20"/>
                <w:szCs w:val="20"/>
                <w:color w:val="auto"/>
              </w:rPr>
            </w:pPr>
            <w:r>
              <w:rPr>
                <w:rFonts w:ascii="Arial" w:cs="Arial" w:eastAsia="Arial" w:hAnsi="Arial"/>
                <w:sz w:val="16"/>
                <w:szCs w:val="16"/>
                <w:color w:val="auto"/>
              </w:rPr>
              <w:t>Date: November 4, 2026</w:t>
            </w:r>
          </w:p>
        </w:tc>
        <w:tc>
          <w:tcPr>
            <w:tcW w:w="282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Noel Watson</w:t>
            </w:r>
          </w:p>
        </w:tc>
      </w:tr>
      <w:tr>
        <w:trPr>
          <w:trHeight w:val="209"/>
        </w:trPr>
        <w:tc>
          <w:tcPr>
            <w:tcW w:w="40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Noel Watson</w:t>
            </w:r>
          </w:p>
        </w:tc>
      </w:tr>
      <w:tr>
        <w:trPr>
          <w:trHeight w:val="215"/>
        </w:trPr>
        <w:tc>
          <w:tcPr>
            <w:tcW w:w="40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16"/>
        </w:trPr>
        <w:tc>
          <w:tcPr>
            <w:tcW w:w="40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320" w:top="115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Jeffrey Stibel, certify that:</w:t>
      </w:r>
    </w:p>
    <w:p>
      <w:pPr>
        <w:spacing w:after="0" w:line="221"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Form 10-Q of LegalZoom.com, Inc.</w:t>
      </w:r>
    </w:p>
    <w:p>
      <w:pPr>
        <w:spacing w:after="0" w:line="234" w:lineRule="exact"/>
        <w:rPr>
          <w:rFonts w:ascii="Arial" w:cs="Arial" w:eastAsia="Arial" w:hAnsi="Arial"/>
          <w:sz w:val="16"/>
          <w:szCs w:val="16"/>
          <w:color w:val="auto"/>
        </w:rPr>
      </w:pPr>
    </w:p>
    <w:p>
      <w:pPr>
        <w:jc w:val="both"/>
        <w:ind w:left="500" w:right="280" w:hanging="492"/>
        <w:spacing w:after="0" w:line="266" w:lineRule="auto"/>
        <w:tabs>
          <w:tab w:leader="none" w:pos="48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500" w:right="420" w:hanging="492"/>
        <w:spacing w:after="0" w:line="286" w:lineRule="auto"/>
        <w:tabs>
          <w:tab w:leader="none" w:pos="48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500" w:right="20" w:hanging="492"/>
        <w:spacing w:after="0" w:line="266" w:lineRule="auto"/>
        <w:tabs>
          <w:tab w:leader="none" w:pos="48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980" w:right="80" w:hanging="486"/>
        <w:spacing w:after="0" w:line="266" w:lineRule="auto"/>
        <w:tabs>
          <w:tab w:leader="none" w:pos="962"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980" w:right="480" w:hanging="486"/>
        <w:spacing w:after="0" w:line="275" w:lineRule="auto"/>
        <w:tabs>
          <w:tab w:leader="none" w:pos="962"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980" w:right="500" w:hanging="486"/>
        <w:spacing w:after="0" w:line="286" w:lineRule="auto"/>
        <w:tabs>
          <w:tab w:leader="none" w:pos="953"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980" w:right="200" w:hanging="486"/>
        <w:spacing w:after="0" w:line="275" w:lineRule="auto"/>
        <w:tabs>
          <w:tab w:leader="none" w:pos="962"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500" w:right="360" w:hanging="492"/>
        <w:spacing w:after="0" w:line="286" w:lineRule="auto"/>
        <w:tabs>
          <w:tab w:leader="none" w:pos="48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ind w:left="980" w:right="140" w:hanging="486"/>
        <w:spacing w:after="0" w:line="286" w:lineRule="auto"/>
        <w:tabs>
          <w:tab w:leader="none" w:pos="962"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980" w:right="80" w:hanging="486"/>
        <w:spacing w:after="0" w:line="286" w:lineRule="auto"/>
        <w:tabs>
          <w:tab w:leader="none" w:pos="962"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LegalZoom.com, Inc.</w:t>
      </w:r>
    </w:p>
    <w:p>
      <w:pPr>
        <w:spacing w:after="0" w:line="302" w:lineRule="exact"/>
        <w:rPr>
          <w:sz w:val="20"/>
          <w:szCs w:val="20"/>
          <w:color w:val="auto"/>
        </w:rPr>
      </w:pPr>
    </w:p>
    <w:p>
      <w:pPr>
        <w:ind w:left="20"/>
        <w:spacing w:after="0"/>
        <w:tabs>
          <w:tab w:leader="none" w:pos="5380" w:val="left"/>
          <w:tab w:leader="none" w:pos="7940" w:val="left"/>
        </w:tabs>
        <w:rPr>
          <w:sz w:val="20"/>
          <w:szCs w:val="20"/>
          <w:color w:val="auto"/>
        </w:rPr>
      </w:pPr>
      <w:r>
        <w:rPr>
          <w:rFonts w:ascii="Arial" w:cs="Arial" w:eastAsia="Arial" w:hAnsi="Arial"/>
          <w:sz w:val="16"/>
          <w:szCs w:val="16"/>
          <w:color w:val="auto"/>
        </w:rPr>
        <w:t>Date: November 4,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Jeffrey Stibel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20955</wp:posOffset>
            </wp:positionV>
            <wp:extent cx="34118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Jeffrey Stibel</w:t>
      </w:r>
    </w:p>
    <w:p>
      <w:pPr>
        <w:spacing w:after="0" w:line="39"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Chief Executive Officer</w:t>
      </w:r>
    </w:p>
    <w:p>
      <w:pPr>
        <w:sectPr>
          <w:pgSz w:w="11900" w:h="16838" w:orient="portrait"/>
          <w:cols w:equalWidth="0" w:num="1">
            <w:col w:w="11240"/>
          </w:cols>
          <w:pgMar w:left="320" w:top="935"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Noel Watson, certify that:</w:t>
      </w:r>
    </w:p>
    <w:p>
      <w:pPr>
        <w:spacing w:after="0" w:line="221"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Form 10-Q of LegalZoom.com, Inc.</w:t>
      </w:r>
    </w:p>
    <w:p>
      <w:pPr>
        <w:spacing w:after="0" w:line="234" w:lineRule="exact"/>
        <w:rPr>
          <w:rFonts w:ascii="Arial" w:cs="Arial" w:eastAsia="Arial" w:hAnsi="Arial"/>
          <w:sz w:val="16"/>
          <w:szCs w:val="16"/>
          <w:color w:val="auto"/>
        </w:rPr>
      </w:pPr>
    </w:p>
    <w:p>
      <w:pPr>
        <w:jc w:val="both"/>
        <w:ind w:left="500" w:right="280" w:hanging="492"/>
        <w:spacing w:after="0" w:line="266" w:lineRule="auto"/>
        <w:tabs>
          <w:tab w:leader="none" w:pos="4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500" w:right="420" w:hanging="492"/>
        <w:spacing w:after="0" w:line="286" w:lineRule="auto"/>
        <w:tabs>
          <w:tab w:leader="none" w:pos="4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500" w:right="20" w:hanging="492"/>
        <w:spacing w:after="0" w:line="266" w:lineRule="auto"/>
        <w:tabs>
          <w:tab w:leader="none" w:pos="4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980" w:right="80" w:hanging="486"/>
        <w:spacing w:after="0" w:line="266" w:lineRule="auto"/>
        <w:tabs>
          <w:tab w:leader="none" w:pos="962"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980" w:right="480" w:hanging="486"/>
        <w:spacing w:after="0" w:line="275" w:lineRule="auto"/>
        <w:tabs>
          <w:tab w:leader="none" w:pos="962"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980" w:right="500" w:hanging="486"/>
        <w:spacing w:after="0" w:line="286" w:lineRule="auto"/>
        <w:tabs>
          <w:tab w:leader="none" w:pos="953"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980" w:right="200" w:hanging="486"/>
        <w:spacing w:after="0" w:line="275" w:lineRule="auto"/>
        <w:tabs>
          <w:tab w:leader="none" w:pos="962"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500" w:right="640" w:hanging="492"/>
        <w:spacing w:after="0" w:line="286" w:lineRule="auto"/>
        <w:tabs>
          <w:tab w:leader="none" w:pos="19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ind w:left="980" w:right="140" w:hanging="486"/>
        <w:spacing w:after="0" w:line="286" w:lineRule="auto"/>
        <w:tabs>
          <w:tab w:leader="none" w:pos="962"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980" w:right="80" w:hanging="486"/>
        <w:spacing w:after="0" w:line="286" w:lineRule="auto"/>
        <w:tabs>
          <w:tab w:leader="none" w:pos="962"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LegalZoom.com, Inc.</w:t>
      </w:r>
    </w:p>
    <w:p>
      <w:pPr>
        <w:spacing w:after="0" w:line="302" w:lineRule="exact"/>
        <w:rPr>
          <w:sz w:val="20"/>
          <w:szCs w:val="20"/>
          <w:color w:val="auto"/>
        </w:rPr>
      </w:pPr>
    </w:p>
    <w:p>
      <w:pPr>
        <w:ind w:left="360"/>
        <w:spacing w:after="0"/>
        <w:tabs>
          <w:tab w:leader="none" w:pos="5320" w:val="left"/>
          <w:tab w:leader="none" w:pos="7640" w:val="left"/>
        </w:tabs>
        <w:rPr>
          <w:sz w:val="20"/>
          <w:szCs w:val="20"/>
          <w:color w:val="auto"/>
        </w:rPr>
      </w:pPr>
      <w:r>
        <w:rPr>
          <w:rFonts w:ascii="Arial" w:cs="Arial" w:eastAsia="Arial" w:hAnsi="Arial"/>
          <w:sz w:val="16"/>
          <w:szCs w:val="16"/>
          <w:color w:val="auto"/>
        </w:rPr>
        <w:t>Date: November 4,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20955</wp:posOffset>
            </wp:positionV>
            <wp:extent cx="31629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26"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Noel Watson</w:t>
      </w:r>
    </w:p>
    <w:p>
      <w:pPr>
        <w:spacing w:after="0" w:line="39"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Chief Financial Officer</w:t>
      </w:r>
    </w:p>
    <w:p>
      <w:pPr>
        <w:sectPr>
          <w:pgSz w:w="11900" w:h="16838" w:orient="portrait"/>
          <w:cols w:equalWidth="0" w:num="1">
            <w:col w:w="11240"/>
          </w:cols>
          <w:pgMar w:left="320" w:top="93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w:t>
      </w:r>
    </w:p>
    <w:p>
      <w:pPr>
        <w:spacing w:after="0" w:line="235" w:lineRule="exact"/>
        <w:rPr>
          <w:sz w:val="20"/>
          <w:szCs w:val="20"/>
          <w:color w:val="auto"/>
        </w:rPr>
      </w:pPr>
    </w:p>
    <w:p>
      <w:pPr>
        <w:jc w:val="both"/>
        <w:ind w:right="340"/>
        <w:spacing w:after="0" w:line="275"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Jeffrey Stibel, Chief Executive Officer of LegalZoom.com, Inc. (the “Company”), and Noel Watson, Chief Financial Officer of the Company, each hereby certifies that, to the best of his knowledge:</w:t>
      </w:r>
    </w:p>
    <w:p>
      <w:pPr>
        <w:spacing w:after="0" w:line="164" w:lineRule="exact"/>
        <w:rPr>
          <w:sz w:val="20"/>
          <w:szCs w:val="20"/>
          <w:color w:val="auto"/>
        </w:rPr>
      </w:pPr>
    </w:p>
    <w:p>
      <w:pPr>
        <w:ind w:left="500" w:right="140" w:hanging="492"/>
        <w:spacing w:after="0" w:line="286" w:lineRule="auto"/>
        <w:tabs>
          <w:tab w:leader="none" w:pos="52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September 30, 2026, to which this Certification is attached as Exhibit 32.1 (the “Periodic Report”), fully complies with the requirements of Section 13(a) or Section 15(d) of the Exchange Act; and</w:t>
      </w:r>
    </w:p>
    <w:p>
      <w:pPr>
        <w:spacing w:after="0" w:line="169" w:lineRule="exact"/>
        <w:rPr>
          <w:rFonts w:ascii="Arial" w:cs="Arial" w:eastAsia="Arial" w:hAnsi="Arial"/>
          <w:sz w:val="16"/>
          <w:szCs w:val="16"/>
          <w:color w:val="auto"/>
        </w:rPr>
      </w:pPr>
    </w:p>
    <w:p>
      <w:pPr>
        <w:ind w:left="500" w:right="620" w:hanging="492"/>
        <w:spacing w:after="0" w:line="286" w:lineRule="auto"/>
        <w:tabs>
          <w:tab w:leader="none" w:pos="48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have set their hands hereto as of the date written below.</w:t>
      </w:r>
    </w:p>
    <w:p>
      <w:pPr>
        <w:spacing w:after="0" w:line="26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LegalZoom.com, Inc.</w:t>
      </w:r>
    </w:p>
    <w:p>
      <w:pPr>
        <w:spacing w:after="0" w:line="289" w:lineRule="exact"/>
        <w:rPr>
          <w:sz w:val="20"/>
          <w:szCs w:val="20"/>
          <w:color w:val="auto"/>
        </w:rPr>
      </w:pPr>
    </w:p>
    <w:p>
      <w:pPr>
        <w:ind w:left="20"/>
        <w:spacing w:after="0"/>
        <w:tabs>
          <w:tab w:leader="none" w:pos="5380" w:val="left"/>
          <w:tab w:leader="none" w:pos="7940" w:val="left"/>
        </w:tabs>
        <w:rPr>
          <w:sz w:val="20"/>
          <w:szCs w:val="20"/>
          <w:color w:val="auto"/>
        </w:rPr>
      </w:pPr>
      <w:r>
        <w:rPr>
          <w:rFonts w:ascii="Arial" w:cs="Arial" w:eastAsia="Arial" w:hAnsi="Arial"/>
          <w:sz w:val="16"/>
          <w:szCs w:val="16"/>
          <w:color w:val="auto"/>
        </w:rPr>
        <w:t>Date: November 4,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Jeffrey Stibel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20955</wp:posOffset>
            </wp:positionV>
            <wp:extent cx="34118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Jeffrey Stibel</w:t>
      </w:r>
    </w:p>
    <w:p>
      <w:pPr>
        <w:spacing w:after="0" w:line="39"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5800"/>
        <w:spacing w:after="0"/>
        <w:rPr>
          <w:sz w:val="20"/>
          <w:szCs w:val="20"/>
          <w:color w:val="auto"/>
        </w:rPr>
      </w:pPr>
      <w:r>
        <w:rPr>
          <w:rFonts w:ascii="Arial" w:cs="Arial" w:eastAsia="Arial" w:hAnsi="Arial"/>
          <w:sz w:val="16"/>
          <w:szCs w:val="16"/>
          <w:i w:val="1"/>
          <w:iCs w:val="1"/>
          <w:color w:val="auto"/>
        </w:rPr>
        <w:t>(Principal Executive Officer)</w:t>
      </w:r>
    </w:p>
    <w:p>
      <w:pPr>
        <w:spacing w:after="0" w:line="295" w:lineRule="exact"/>
        <w:rPr>
          <w:sz w:val="20"/>
          <w:szCs w:val="20"/>
          <w:color w:val="auto"/>
        </w:rPr>
      </w:pPr>
    </w:p>
    <w:p>
      <w:pPr>
        <w:ind w:left="20"/>
        <w:spacing w:after="0"/>
        <w:tabs>
          <w:tab w:leader="none" w:pos="5380" w:val="left"/>
          <w:tab w:leader="none" w:pos="7940" w:val="left"/>
        </w:tabs>
        <w:rPr>
          <w:sz w:val="20"/>
          <w:szCs w:val="20"/>
          <w:color w:val="auto"/>
        </w:rPr>
      </w:pPr>
      <w:r>
        <w:rPr>
          <w:rFonts w:ascii="Arial" w:cs="Arial" w:eastAsia="Arial" w:hAnsi="Arial"/>
          <w:sz w:val="16"/>
          <w:szCs w:val="16"/>
          <w:color w:val="auto"/>
        </w:rPr>
        <w:t>Date: November 4,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20955</wp:posOffset>
            </wp:positionV>
            <wp:extent cx="34118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Noel Watson</w:t>
      </w:r>
    </w:p>
    <w:p>
      <w:pPr>
        <w:spacing w:after="0" w:line="39"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left="5800"/>
        <w:spacing w:after="0"/>
        <w:rPr>
          <w:sz w:val="20"/>
          <w:szCs w:val="20"/>
          <w:color w:val="auto"/>
        </w:rPr>
      </w:pPr>
      <w:r>
        <w:rPr>
          <w:rFonts w:ascii="Arial" w:cs="Arial" w:eastAsia="Arial" w:hAnsi="Arial"/>
          <w:sz w:val="16"/>
          <w:szCs w:val="16"/>
          <w:i w:val="1"/>
          <w:iCs w:val="1"/>
          <w:color w:val="auto"/>
        </w:rPr>
        <w:t>(Principal Financial Officer)</w:t>
      </w:r>
    </w:p>
    <w:p>
      <w:pPr>
        <w:spacing w:after="0" w:line="324"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2"/>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84" Type="http://schemas.openxmlformats.org/officeDocument/2006/relationships/hyperlink" Target="https://www.sec.gov/Archives/edgar/data/0001286139/000119312521207613/d65054dex31.htm" TargetMode="External"/><Relationship Id="rId85" Type="http://schemas.openxmlformats.org/officeDocument/2006/relationships/hyperlink" Target="https://www.sec.gov/Archives/edgar/data/1286139/000128613924000115/ex-31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2026-11-04T16:27:27Z</dcterms:created>
  <dcterms:modified xsi:type="dcterms:W3CDTF">2026-11-04T16:27:27Z</dcterms:modified>
</cp:coreProperties>
</file>