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Work Sans;sans-serif" w:hAnsi="Work Sans;sans-serif"/>
          <w:b/>
          <w:color w:val="000000"/>
          <w:sz w:val="18"/>
        </w:rPr>
      </w:pPr>
      <w:r>
        <w:rPr>
          <w:rFonts w:ascii="Work Sans;sans-serif" w:hAnsi="Work Sans;sans-serif"/>
          <w:b/>
          <w:color w:val="000000"/>
          <w:sz w:val="18"/>
        </w:rPr>
        <w:t>UNITED STATES</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SECURITIES AND EXCHANGE COMMISSION</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WASHINGTON, D.C. 20549</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80" w:after="283"/>
        <w:jc w:val="center"/>
        <w:rPr>
          <w:rFonts w:ascii="Work Sans;sans-serif" w:hAnsi="Work Sans;sans-serif"/>
          <w:b/>
          <w:color w:val="000000"/>
          <w:sz w:val="18"/>
        </w:rPr>
      </w:pPr>
      <w:r>
        <w:rPr>
          <w:rFonts w:ascii="Work Sans;sans-serif" w:hAnsi="Work Sans;sans-serif"/>
          <w:b/>
          <w:color w:val="000000"/>
          <w:sz w:val="18"/>
        </w:rPr>
        <w:t>FORM 8-K</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CURRENT REPORT</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Pursuant to Section 13 or 15(d) of the Securities Exchange Act of 1934</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Date of Report (Date of earliest event reported): November 4, 2026</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(Exact name of Registrant as Specified in Its Charter)</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tbl>
      <w:tblPr>
        <w:tblW w:w="6299" w:type="dxa"/>
        <w:jc w:val="left"/>
        <w:tblInd w:w="0" w:type="dxa"/>
        <w:tblLayout w:type="fixed"/>
        <w:tblCellMar>
          <w:top w:w="28" w:type="dxa"/>
          <w:left w:w="28" w:type="dxa"/>
          <w:bottom w:w="28" w:type="dxa"/>
          <w:right w:w="28" w:type="dxa"/>
        </w:tblCellMar>
      </w:tblPr>
      <w:tblGrid>
        <w:gridCol w:w="1042"/>
        <w:gridCol w:w="915"/>
        <w:gridCol w:w="923"/>
        <w:gridCol w:w="473"/>
        <w:gridCol w:w="473"/>
        <w:gridCol w:w="478"/>
        <w:gridCol w:w="583"/>
        <w:gridCol w:w="583"/>
        <w:gridCol w:w="829"/>
      </w:tblGrid>
      <w:t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Delaware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001-35618</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95-4752856</w:t>
            </w:r>
          </w:p>
        </w:tc>
      </w:tr>
      <w:tr>
        <w:tc>
          <w:tcPr>
            <w:tcW w:w="2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(State or Other Jurisdiction</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of Incorporation)</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(Commission</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File Number)</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(IRS Employer</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Identification No.)</w:t>
            </w:r>
          </w:p>
        </w:tc>
      </w:tr>
    </w:tbl>
    <w:tbl>
      <w:tblPr>
        <w:tblW w:w="5293" w:type="dxa"/>
        <w:jc w:val="left"/>
        <w:tblInd w:w="0" w:type="dxa"/>
        <w:tblLayout w:type="fixed"/>
        <w:tblCellMar>
          <w:top w:w="28" w:type="dxa"/>
          <w:left w:w="28" w:type="dxa"/>
          <w:bottom w:w="28" w:type="dxa"/>
          <w:right w:w="28" w:type="dxa"/>
        </w:tblCellMar>
      </w:tblPr>
      <w:tblGrid>
        <w:gridCol w:w="1483"/>
        <w:gridCol w:w="1304"/>
        <w:gridCol w:w="1307"/>
        <w:gridCol w:w="351"/>
        <w:gridCol w:w="351"/>
        <w:gridCol w:w="497"/>
      </w:tblGrid>
      <w:t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c>
          <w:tcPr>
            <w:tcW w:w="4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954 Villa Street,</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Mountain View, California</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94041</w:t>
            </w:r>
          </w:p>
        </w:tc>
      </w:tr>
      <w:tr>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(Address of Principal Executive Offices)</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color w:val="000000"/>
                <w:sz w:val="18"/>
              </w:rPr>
            </w:pPr>
            <w:r>
              <w:rPr>
                <w:rFonts w:ascii="Open Sans;sans-serif" w:hAnsi="Open Sans;sans-serif"/>
                <w:b/>
                <w:color w:val="000000"/>
                <w:sz w:val="18"/>
              </w:rPr>
              <w:t>(Zip Code)</w:t>
            </w:r>
          </w:p>
        </w:tc>
      </w:tr>
    </w:tbl>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Registrant’s Telephone Number, Including Area Code: (323) 962-8600</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Not Applicable</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(Former Name or Former Address, if Changed Since Last Report)</w:t>
      </w:r>
    </w:p>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____________________</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Check the appropriate box below if the Form 8-K filing is intended to simultaneously satisfy the filing obligation of the registrant under any of the following provisions (see General Instructions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91"/>
        <w:gridCol w:w="2841"/>
        <w:gridCol w:w="403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Securities registered pursuant to Section 12(b) of the Act:</w:t>
      </w:r>
    </w:p>
    <w:tbl>
      <w:tblPr>
        <w:tblW w:w="9818" w:type="dxa"/>
        <w:jc w:val="left"/>
        <w:tblInd w:w="0" w:type="dxa"/>
        <w:tblLayout w:type="fixed"/>
        <w:tblCellMar>
          <w:top w:w="28" w:type="dxa"/>
          <w:left w:w="28" w:type="dxa"/>
          <w:bottom w:w="28" w:type="dxa"/>
          <w:right w:w="28" w:type="dxa"/>
        </w:tblCellMar>
      </w:tblPr>
      <w:tblGrid>
        <w:gridCol w:w="1634"/>
        <w:gridCol w:w="1437"/>
        <w:gridCol w:w="1444"/>
        <w:gridCol w:w="109"/>
        <w:gridCol w:w="109"/>
        <w:gridCol w:w="109"/>
        <w:gridCol w:w="374"/>
        <w:gridCol w:w="374"/>
        <w:gridCol w:w="376"/>
        <w:gridCol w:w="109"/>
        <w:gridCol w:w="109"/>
        <w:gridCol w:w="109"/>
        <w:gridCol w:w="1032"/>
        <w:gridCol w:w="1032"/>
        <w:gridCol w:w="1461"/>
      </w:tblGrid>
      <w:t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Trading</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Name of each exchange</w:t>
            </w:r>
          </w:p>
          <w:p>
            <w:pPr>
              <w:pStyle w:val="TableContents"/>
              <w:bidi w:val="0"/>
              <w:spacing w:lineRule="auto" w:line="288" w:before="0" w:after="20"/>
              <w:jc w:val="center"/>
              <w:rPr>
                <w:rFonts w:ascii="Work Sans;sans-serif" w:hAnsi="Work Sans;sans-serif"/>
                <w:b/>
                <w:color w:val="000000"/>
                <w:sz w:val="18"/>
              </w:rPr>
            </w:pPr>
            <w:r>
              <w:rPr>
                <w:rFonts w:ascii="Work Sans;sans-serif" w:hAnsi="Work Sans;sans-serif"/>
                <w:b/>
                <w:color w:val="000000"/>
                <w:sz w:val="18"/>
              </w:rPr>
              <w:t>on which registered</w:t>
            </w:r>
          </w:p>
        </w:tc>
      </w:tr>
      <w:tr>
        <w:tc>
          <w:tcPr>
            <w:tcW w:w="4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LZ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8"/>
              </w:rPr>
            </w:pPr>
            <w:r>
              <w:rPr>
                <w:rFonts w:ascii="Open Sans;sans-serif" w:hAnsi="Open Sans;sans-serif"/>
                <w:b/>
                <w:color w:val="000000"/>
                <w:sz w:val="18"/>
              </w:rPr>
              <w:t>The Nasdaq Global Select Market</w:t>
            </w:r>
          </w:p>
        </w:tc>
      </w:tr>
    </w:tbl>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Emerging growth company ☐</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2.02 Results of Operations and Financial Condition.</w:t>
      </w:r>
    </w:p>
    <w:p>
      <w:pPr>
        <w:pStyle w:val="TextBody"/>
        <w:bidi w:val="0"/>
        <w:spacing w:lineRule="auto" w:line="288" w:before="120" w:after="160"/>
        <w:jc w:val="left"/>
      </w:pPr>
      <w:r>
        <w:rPr>
          <w:rFonts w:ascii="Work Sans;sans-serif" w:hAnsi="Work Sans;sans-serif"/>
          <w:b w:val="false"/>
          <w:color w:val="000000"/>
          <w:sz w:val="18"/>
        </w:rPr>
        <w:t xml:space="preserve">On November 4, 2026, LegalZoom.com, Inc. (“LegalZoom”) issued a press release announcing its results of operations for the three and nine months ended September 30, 2026. A copy of that press release is furnished as </w:t>
      </w:r>
      <w:hyperlink w:anchor="lz-q32026earningsxexx991.htm">
        <w:r>
          <w:rPr>
            <w:rStyle w:val="InternetLink"/>
            <w:rFonts w:ascii="Work Sans;sans-serif" w:hAnsi="Work Sans;sans-serif"/>
            <w:b w:val="false"/>
            <w:color w:val="0000FF"/>
            <w:sz w:val="18"/>
            <w:u w:val="single"/>
          </w:rPr>
          <w:t>Exhibit 99.1</w:t>
        </w:r>
      </w:hyperlink>
      <w:r>
        <w:rPr>
          <w:color w:val="000000"/>
        </w:rPr>
        <w:t xml:space="preserve"> </w:t>
      </w:r>
      <w:r>
        <w:rPr>
          <w:rFonts w:ascii="Work Sans;sans-serif" w:hAnsi="Work Sans;sans-serif"/>
          <w:b w:val="false"/>
          <w:color w:val="000000"/>
          <w:sz w:val="18"/>
        </w:rPr>
        <w:t>to this report.</w:t>
      </w:r>
    </w:p>
    <w:p>
      <w:pPr>
        <w:pStyle w:val="TextBody"/>
        <w:bidi w:val="0"/>
        <w:spacing w:lineRule="auto" w:line="288" w:before="0" w:after="160"/>
        <w:jc w:val="left"/>
      </w:pPr>
      <w:r>
        <w:rPr>
          <w:rFonts w:ascii="Work Sans;sans-serif" w:hAnsi="Work Sans;sans-serif"/>
          <w:b w:val="false"/>
          <w:color w:val="000000"/>
          <w:sz w:val="18"/>
        </w:rPr>
        <w:t xml:space="preserve">The information furnished pursuant to Item 2.02 of this report, including </w:t>
      </w:r>
      <w:hyperlink w:anchor="lz-q32026earningsxexx991.htm">
        <w:r>
          <w:rPr>
            <w:rStyle w:val="InternetLink"/>
            <w:rFonts w:ascii="Work Sans;sans-serif" w:hAnsi="Work Sans;sans-serif"/>
            <w:b w:val="false"/>
            <w:color w:val="0000FF"/>
            <w:sz w:val="18"/>
            <w:u w:val="single"/>
          </w:rPr>
          <w:t>Exhibit 99.1</w:t>
        </w:r>
      </w:hyperlink>
      <w:r>
        <w:rPr>
          <w:rFonts w:ascii="Work Sans;sans-serif" w:hAnsi="Work Sans;sans-serif"/>
          <w:b w:val="false"/>
          <w:color w:val="000000"/>
          <w:sz w:val="18"/>
        </w:rPr>
        <w:t>, shall not be deemed to be “filed” for purposes of Section 18 of the Securities Exchange Act of 1934, as amended (the “Exchange Act”), or otherwise subject to the liabilities of that section, unless LegalZoom specifically states that the information is to be considered “filed” under the Exchange Act or incorporates it by reference into a filing under the Securities Act of 1933, as amended, or the Exchange Act.</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7.01 Regulation FD Disclosure.</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Also on November 4, 2026, LegalZoom updated its investor presentation and supplemental financial report, which contain financial results and related information regarding LegalZoom. The investor presentation and supplemental financial report are available on LegalZoom’s Investor Relations website at https://investors.legalzoom.com.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Item 9.01 Financial Statements and Exhibits.</w:t>
      </w:r>
    </w:p>
    <w:p>
      <w:pPr>
        <w:pStyle w:val="TextBody"/>
        <w:bidi w:val="0"/>
        <w:spacing w:lineRule="auto" w:line="288" w:before="120" w:after="283"/>
        <w:jc w:val="left"/>
      </w:pPr>
      <w:r>
        <w:rPr>
          <w:rFonts w:ascii="Work Sans;sans-serif" w:hAnsi="Work Sans;sans-serif"/>
          <w:b w:val="false"/>
          <w:color w:val="000000"/>
          <w:sz w:val="18"/>
        </w:rPr>
        <w:t xml:space="preserve">(d) </w:t>
      </w:r>
      <w:r>
        <w:rPr>
          <w:rFonts w:ascii="Work Sans;sans-serif" w:hAnsi="Work Sans;sans-serif"/>
          <w:b w:val="false"/>
          <w:color w:val="000000"/>
          <w:sz w:val="18"/>
          <w:u w:val="single"/>
        </w:rPr>
        <w:t>Exhibits</w:t>
      </w:r>
      <w:r>
        <w:rPr>
          <w:rFonts w:ascii="Work Sans;sans-serif" w:hAnsi="Work Sans;sans-serif"/>
          <w:b w:val="false"/>
          <w:color w:val="000000"/>
          <w:sz w:val="18"/>
        </w:rPr>
        <w:t>.</w:t>
      </w:r>
    </w:p>
    <w:tbl>
      <w:tblPr>
        <w:tblW w:w="859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141"/>
        <w:gridCol w:w="2141"/>
        <w:gridCol w:w="3037"/>
      </w:tblGrid>
      <w:t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Exhibit</w:t>
            </w:r>
          </w:p>
          <w:p>
            <w:pPr>
              <w:pStyle w:val="TableContents"/>
              <w:bidi w:val="0"/>
              <w:spacing w:lineRule="auto" w:line="288" w:before="0" w:after="20"/>
              <w:jc w:val="left"/>
              <w:rPr>
                <w:rFonts w:ascii="Work Sans;sans-serif" w:hAnsi="Work Sans;sans-serif"/>
                <w:b/>
                <w:color w:val="000000"/>
                <w:sz w:val="18"/>
              </w:rPr>
            </w:pPr>
            <w:r>
              <w:rPr>
                <w:rFonts w:ascii="Work Sans;sans-serif" w:hAnsi="Work Sans;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Description</w:t>
            </w:r>
          </w:p>
        </w:tc>
      </w:tr>
      <w:t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lz-q32026earningsxexx991.htm">
              <w:r>
                <w:rPr>
                  <w:rStyle w:val="InternetLink"/>
                  <w:rFonts w:ascii="Work Sans;sans-serif" w:hAnsi="Work Sans;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pPr>
            <w:hyperlink w:anchor="lz-q32026earningsxexx991.htm">
              <w:r>
                <w:rPr>
                  <w:rStyle w:val="InternetLink"/>
                  <w:rFonts w:ascii="Work Sans;sans-serif" w:hAnsi="Work Sans;sans-serif"/>
                  <w:b w:val="false"/>
                  <w:color w:val="000080"/>
                  <w:sz w:val="18"/>
                  <w:u w:val="single"/>
                </w:rPr>
                <w:t xml:space="preserve">Earnings Press Release of LegalZoom.com, Inc. dated </w:t>
              </w:r>
            </w:hyperlink>
            <w:hyperlink w:anchor="lz-q32026earningsxexx991.htm">
              <w:r>
                <w:rPr>
                  <w:rStyle w:val="InternetLink"/>
                  <w:rFonts w:ascii="Work Sans;sans-serif" w:hAnsi="Work Sans;sans-serif"/>
                  <w:b w:val="false"/>
                  <w:color w:val="000080"/>
                  <w:sz w:val="18"/>
                  <w:u w:val="single"/>
                </w:rPr>
                <w:t>N</w:t>
              </w:r>
            </w:hyperlink>
            <w:hyperlink w:anchor="lz-q32026earningsxexx991.htm">
              <w:r>
                <w:rPr>
                  <w:rStyle w:val="InternetLink"/>
                  <w:rFonts w:ascii="Work Sans;sans-serif" w:hAnsi="Work Sans;sans-serif"/>
                  <w:b w:val="false"/>
                  <w:color w:val="000080"/>
                  <w:sz w:val="18"/>
                  <w:u w:val="single"/>
                </w:rPr>
                <w:t xml:space="preserve">ovember </w:t>
              </w:r>
            </w:hyperlink>
            <w:hyperlink w:anchor="lz-q32026earningsxexx991.htm">
              <w:r>
                <w:rPr>
                  <w:rStyle w:val="InternetLink"/>
                  <w:rFonts w:ascii="Work Sans;sans-serif" w:hAnsi="Work Sans;sans-serif"/>
                  <w:b w:val="false"/>
                  <w:color w:val="000080"/>
                  <w:sz w:val="18"/>
                  <w:u w:val="single"/>
                </w:rPr>
                <w:t>4</w:t>
              </w:r>
            </w:hyperlink>
            <w:hyperlink w:anchor="lz-q32026earningsxexx991.htm">
              <w:r>
                <w:rPr>
                  <w:rStyle w:val="InternetLink"/>
                  <w:rFonts w:ascii="Work Sans;sans-serif" w:hAnsi="Work Sans;sans-serif"/>
                  <w:b w:val="false"/>
                  <w:color w:val="000080"/>
                  <w:sz w:val="18"/>
                  <w:u w:val="single"/>
                </w:rPr>
                <w:t>, 2026.</w:t>
              </w:r>
            </w:hyperlink>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Cover Page Interactive Data File (embedded within the Inline XBRL document).</w:t>
            </w:r>
          </w:p>
        </w:tc>
      </w:tr>
    </w:tbl>
    <w:p>
      <w:pPr>
        <w:pStyle w:val="TextBody"/>
        <w:bidi w:val="0"/>
        <w:spacing w:before="0" w:after="0"/>
        <w:jc w:val="left"/>
      </w:pPr>
      <w:r/>
    </w:p>
    <w:p>
      <w:pPr>
        <w:pStyle w:val="TextBody"/>
        <w:bidi w:val="0"/>
        <w:spacing w:before="0" w:after="0"/>
        <w:ind w:left="0" w:right="0" w:hanging="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Work Sans;sans-serif" w:hAnsi="Work Sans;sans-serif"/>
                                <w:b w:val="false"/>
                                <w:color w:val="000000"/>
                                <w:sz w:val="20"/>
                              </w:rPr>
                            </w:pPr>
                            <w:r>
                              <w:rPr>
                                <w:rFonts w:ascii="Work Sans;sans-serif" w:hAnsi="Work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Work Sans;sans-serif" w:hAnsi="Work Sans;sans-serif"/>
                          <w:b w:val="false"/>
                          <w:color w:val="000000"/>
                          <w:sz w:val="20"/>
                        </w:rPr>
                      </w:pPr>
                      <w:r>
                        <w:rPr>
                          <w:rFonts w:ascii="Work Sans;sans-serif" w:hAnsi="Work Sans;sans-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360" w:after="283"/>
        <w:jc w:val="center"/>
        <w:rPr>
          <w:rFonts w:ascii="Work Sans;sans-serif" w:hAnsi="Work Sans;sans-serif"/>
          <w:b/>
          <w:color w:val="000000"/>
          <w:sz w:val="18"/>
          <w:shd w:fill="FFFFFF" w:val="clear"/>
        </w:rPr>
      </w:pPr>
      <w:r>
        <w:rPr>
          <w:rFonts w:ascii="Work Sans;sans-serif" w:hAnsi="Work Sans;sans-serif"/>
          <w:b/>
          <w:color w:val="000000"/>
          <w:sz w:val="18"/>
          <w:shd w:fill="FFFFFF" w:val="clear"/>
        </w:rPr>
        <w:t>SIGNATURES</w:t>
      </w:r>
    </w:p>
    <w:p>
      <w:pPr>
        <w:pStyle w:val="TextBody"/>
        <w:bidi w:val="0"/>
        <w:spacing w:lineRule="auto" w:line="288" w:before="240" w:after="283"/>
        <w:jc w:val="left"/>
        <w:rPr>
          <w:rFonts w:ascii="Work Sans;sans-serif" w:hAnsi="Work Sans;sans-serif"/>
          <w:b w:val="false"/>
          <w:color w:val="000000"/>
          <w:sz w:val="18"/>
          <w:shd w:fill="FFFFFF" w:val="clear"/>
        </w:rPr>
      </w:pPr>
      <w:r>
        <w:rPr>
          <w:rFonts w:ascii="Work Sans;sans-serif" w:hAnsi="Work Sans;sans-serif"/>
          <w:b w:val="false"/>
          <w:color w:val="000000"/>
          <w:sz w:val="18"/>
          <w:shd w:fill="FFFFFF" w:val="clear"/>
        </w:rPr>
        <w:t>Pursuant to the requirements of the Securities Exchange Act of 1934, the registrant has duly caused this report to be signed on its behalf by the undersigned thereunto duly authorized.</w:t>
      </w:r>
    </w:p>
    <w:tbl>
      <w:tblPr>
        <w:tblW w:w="5699" w:type="dxa"/>
        <w:jc w:val="left"/>
        <w:tblInd w:w="0" w:type="dxa"/>
        <w:tblLayout w:type="fixed"/>
        <w:tblCellMar>
          <w:top w:w="28" w:type="dxa"/>
          <w:left w:w="28" w:type="dxa"/>
          <w:bottom w:w="28" w:type="dxa"/>
          <w:right w:w="28" w:type="dxa"/>
        </w:tblCellMar>
      </w:tblPr>
      <w:tblGrid>
        <w:gridCol w:w="856"/>
        <w:gridCol w:w="753"/>
        <w:gridCol w:w="761"/>
        <w:gridCol w:w="320"/>
        <w:gridCol w:w="320"/>
        <w:gridCol w:w="320"/>
        <w:gridCol w:w="692"/>
        <w:gridCol w:w="692"/>
        <w:gridCol w:w="985"/>
      </w:tblGrid>
      <w:t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Date: November 4, 2026</w:t>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20"/>
                        </w:rPr>
                      </w:pPr>
                      <w:r>
                        <w:rPr>
                          <w:rFonts w:ascii="Work Sans;sans-serif" w:hAnsi="Work Sans;sans-serif"/>
                          <w:b w:val="false"/>
                          <w:color w:val="000000"/>
                          <w:sz w:val="20"/>
                        </w:rPr>
                        <w:t>3</w:t>
                      </w:r>
                    </w:p>
                  </w:txbxContent>
                </v:textbox>
                <w10:wrap type="none"/>
              </v:rect>
            </w:pict>
          </mc:Fallback>
        </mc:AlternateContent>
      </w:r>
    </w:p>
    <w:p>
      <w:pPr>
        <w:pStyle w:val="TextBody"/>
        <w:bidi w:val="0"/>
        <w:spacing w:lineRule="auto" w:line="288" w:before="0" w:after="120"/>
        <w:jc w:val="right"/>
        <w:rPr>
          <w:rFonts w:ascii="Work Sans;sans-serif" w:hAnsi="Work Sans;sans-serif"/>
          <w:b/>
          <w:color w:val="000000"/>
          <w:sz w:val="18"/>
        </w:rPr>
      </w:pPr>
      <w:r>
        <w:rPr>
          <w:rFonts w:ascii="Work Sans;sans-serif" w:hAnsi="Work Sans;sans-serif"/>
          <w:b/>
          <w:color w:val="000000"/>
          <w:sz w:val="18"/>
        </w:rPr>
        <w:t>Exhibit 99.1</w:t>
      </w:r>
    </w:p>
    <w:p>
      <w:pPr>
        <w:pStyle w:val="TextBody"/>
        <w:bidi w:val="0"/>
        <w:spacing w:before="0" w:after="240"/>
        <w:jc w:val="left"/>
      </w:pPr>
      <w:r>
        <w:drawing>
          <wp:inline distT="0" distB="0" distL="0" distR="0">
            <wp:extent cx="1371600"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523875"/>
                    </a:xfrm>
                    <a:prstGeom prst="rect">
                      <a:avLst/>
                    </a:prstGeom>
                  </pic:spPr>
                </pic:pic>
              </a:graphicData>
            </a:graphic>
          </wp:inline>
        </w:drawing>
      </w:r>
    </w:p>
    <w:p>
      <w:pPr>
        <w:pStyle w:val="TextBody"/>
        <w:bidi w:val="0"/>
        <w:spacing w:lineRule="auto" w:line="276" w:before="0" w:after="0"/>
        <w:jc w:val="left"/>
        <w:rPr>
          <w:rFonts w:ascii="Work Sans;sans-serif" w:hAnsi="Work Sans;sans-serif"/>
          <w:b/>
          <w:color w:val="000000"/>
          <w:sz w:val="18"/>
        </w:rPr>
      </w:pPr>
      <w:r>
        <w:rPr>
          <w:rFonts w:ascii="Work Sans;sans-serif" w:hAnsi="Work Sans;sans-serif"/>
          <w:b/>
          <w:color w:val="000000"/>
          <w:sz w:val="18"/>
        </w:rPr>
        <w:t xml:space="preserve">LegalZoom Reports Third Quarter 2026 Financial Results </w:t>
      </w:r>
    </w:p>
    <w:p>
      <w:pPr>
        <w:pStyle w:val="TextBody"/>
        <w:bidi w:val="0"/>
        <w:spacing w:before="0" w:after="0"/>
        <w:jc w:val="left"/>
      </w:pPr>
      <w:r/>
    </w:p>
    <w:p>
      <w:pPr>
        <w:pStyle w:val="TextBody"/>
        <w:bidi w:val="0"/>
        <w:spacing w:lineRule="auto" w:line="288" w:before="0" w:after="120"/>
        <w:ind w:left="0" w:right="0" w:hanging="360"/>
        <w:jc w:val="left"/>
      </w:pPr>
      <w:r>
        <w:rPr>
          <w:color w:val="000000"/>
        </w:rPr>
        <w:t>•</w:t>
      </w:r>
      <w:r>
        <w:rPr>
          <w:rFonts w:ascii="Work Sans;sans-serif" w:hAnsi="Work Sans;sans-serif"/>
          <w:b w:val="false"/>
          <w:i/>
          <w:color w:val="000000"/>
          <w:sz w:val="18"/>
        </w:rPr>
        <w:t xml:space="preserve">Revenue of </w:t>
      </w:r>
      <w:r>
        <w:rPr>
          <w:rFonts w:ascii="Work Sans;sans-serif" w:hAnsi="Work Sans;sans-serif"/>
          <w:b w:val="false"/>
          <w:i/>
          <w:color w:val="000000"/>
          <w:sz w:val="18"/>
          <w:shd w:fill="FFFFFF" w:val="clear"/>
        </w:rPr>
        <w:t>$195.1 million,</w:t>
      </w:r>
      <w:r>
        <w:rPr>
          <w:color w:val="000000"/>
        </w:rPr>
        <w:t xml:space="preserve"> </w:t>
      </w:r>
      <w:r>
        <w:rPr>
          <w:rFonts w:ascii="Work Sans;sans-serif" w:hAnsi="Work Sans;sans-serif"/>
          <w:b w:val="false"/>
          <w:i/>
          <w:color w:val="000000"/>
          <w:sz w:val="18"/>
        </w:rPr>
        <w:t xml:space="preserve">up </w:t>
      </w:r>
      <w:r>
        <w:rPr>
          <w:rFonts w:ascii="Work Sans;sans-serif" w:hAnsi="Work Sans;sans-serif"/>
          <w:b w:val="false"/>
          <w:color w:val="000000"/>
          <w:sz w:val="18"/>
        </w:rPr>
        <w:t>3%</w:t>
      </w:r>
      <w:r>
        <w:rPr>
          <w:color w:val="000000"/>
        </w:rPr>
        <w:t xml:space="preserve"> </w:t>
      </w:r>
      <w:r>
        <w:rPr>
          <w:rFonts w:ascii="Work Sans;sans-serif" w:hAnsi="Work Sans;sans-serif"/>
          <w:b w:val="false"/>
          <w:i/>
          <w:color w:val="000000"/>
          <w:sz w:val="18"/>
        </w:rPr>
        <w:t>year-over-year, above the midpoint of the Company’s guidance range</w:t>
      </w:r>
    </w:p>
    <w:p>
      <w:pPr>
        <w:pStyle w:val="TextBody"/>
        <w:bidi w:val="0"/>
        <w:spacing w:lineRule="auto" w:line="288" w:before="0" w:after="120"/>
        <w:ind w:left="0" w:right="0" w:hanging="360"/>
        <w:jc w:val="left"/>
      </w:pPr>
      <w:r>
        <w:rPr>
          <w:color w:val="000000"/>
        </w:rPr>
        <w:t>•</w:t>
      </w:r>
      <w:r>
        <w:rPr>
          <w:rFonts w:ascii="Work Sans;sans-serif" w:hAnsi="Work Sans;sans-serif"/>
          <w:b w:val="false"/>
          <w:i/>
          <w:color w:val="000000"/>
          <w:sz w:val="18"/>
        </w:rPr>
        <w:t xml:space="preserve">Subscription revenue of </w:t>
      </w:r>
      <w:r>
        <w:rPr>
          <w:rFonts w:ascii="Work Sans;sans-serif" w:hAnsi="Work Sans;sans-serif"/>
          <w:b w:val="false"/>
          <w:i/>
          <w:color w:val="000000"/>
          <w:sz w:val="18"/>
          <w:shd w:fill="FFFFFF" w:val="clear"/>
        </w:rPr>
        <w:t>$139.7 million,</w:t>
      </w:r>
      <w:r>
        <w:rPr>
          <w:color w:val="000000"/>
        </w:rPr>
        <w:t xml:space="preserve"> </w:t>
      </w:r>
      <w:r>
        <w:rPr>
          <w:rFonts w:ascii="Work Sans;sans-serif" w:hAnsi="Work Sans;sans-serif"/>
          <w:b w:val="false"/>
          <w:i/>
          <w:color w:val="000000"/>
          <w:sz w:val="18"/>
        </w:rPr>
        <w:t xml:space="preserve">up </w:t>
      </w:r>
      <w:r>
        <w:rPr>
          <w:rFonts w:ascii="Work Sans;sans-serif" w:hAnsi="Work Sans;sans-serif"/>
          <w:b w:val="false"/>
          <w:color w:val="000000"/>
          <w:sz w:val="18"/>
        </w:rPr>
        <w:t>11%</w:t>
      </w:r>
      <w:r>
        <w:rPr>
          <w:color w:val="000000"/>
        </w:rPr>
        <w:t xml:space="preserve"> </w:t>
      </w:r>
      <w:r>
        <w:rPr>
          <w:rFonts w:ascii="Work Sans;sans-serif" w:hAnsi="Work Sans;sans-serif"/>
          <w:b w:val="false"/>
          <w:i/>
          <w:color w:val="000000"/>
          <w:sz w:val="18"/>
        </w:rPr>
        <w:t xml:space="preserve">year-over-year, marking the sixth consecutive quarter of double digit-subscription revenue growth </w:t>
      </w:r>
    </w:p>
    <w:p>
      <w:pPr>
        <w:pStyle w:val="TextBody"/>
        <w:bidi w:val="0"/>
        <w:spacing w:lineRule="auto" w:line="288" w:before="0" w:after="120"/>
        <w:ind w:left="0" w:right="0" w:hanging="360"/>
        <w:jc w:val="left"/>
      </w:pPr>
      <w:r>
        <w:rPr>
          <w:color w:val="000000"/>
        </w:rPr>
        <w:t>•</w:t>
      </w:r>
      <w:r>
        <w:rPr>
          <w:rFonts w:ascii="Work Sans;sans-serif" w:hAnsi="Work Sans;sans-serif"/>
          <w:b w:val="false"/>
          <w:i/>
          <w:color w:val="000000"/>
          <w:sz w:val="18"/>
        </w:rPr>
        <w:t xml:space="preserve">Net income of </w:t>
      </w:r>
      <w:r>
        <w:rPr>
          <w:rFonts w:ascii="Work Sans;sans-serif" w:hAnsi="Work Sans;sans-serif"/>
          <w:b w:val="false"/>
          <w:i/>
          <w:color w:val="000000"/>
          <w:sz w:val="18"/>
          <w:shd w:fill="FFFFFF" w:val="clear"/>
        </w:rPr>
        <w:t>$8.1 million</w:t>
      </w:r>
      <w:r>
        <w:rPr>
          <w:color w:val="000000"/>
        </w:rPr>
        <w:t xml:space="preserve"> </w:t>
      </w:r>
      <w:r>
        <w:rPr>
          <w:rFonts w:ascii="Work Sans;sans-serif" w:hAnsi="Work Sans;sans-serif"/>
          <w:b w:val="false"/>
          <w:i/>
          <w:color w:val="000000"/>
          <w:sz w:val="18"/>
        </w:rPr>
        <w:t xml:space="preserve">and net income margin of </w:t>
      </w:r>
      <w:r>
        <w:rPr>
          <w:rFonts w:ascii="Work Sans;sans-serif" w:hAnsi="Work Sans;sans-serif"/>
          <w:b w:val="false"/>
          <w:color w:val="000000"/>
          <w:sz w:val="18"/>
        </w:rPr>
        <w:t xml:space="preserve">4%, </w:t>
      </w:r>
      <w:r>
        <w:rPr>
          <w:rFonts w:ascii="Work Sans;sans-serif" w:hAnsi="Work Sans;sans-serif"/>
          <w:b w:val="false"/>
          <w:i/>
          <w:color w:val="000000"/>
          <w:sz w:val="18"/>
        </w:rPr>
        <w:t xml:space="preserve">with net income margin increasing approximately </w:t>
      </w:r>
      <w:r>
        <w:rPr>
          <w:rFonts w:ascii="Work Sans;sans-serif" w:hAnsi="Work Sans;sans-serif"/>
          <w:b w:val="false"/>
          <w:color w:val="000000"/>
          <w:sz w:val="18"/>
        </w:rPr>
        <w:t>180</w:t>
      </w:r>
      <w:r>
        <w:rPr>
          <w:color w:val="000000"/>
        </w:rPr>
        <w:t xml:space="preserve"> </w:t>
      </w:r>
      <w:r>
        <w:rPr>
          <w:rFonts w:ascii="Work Sans;sans-serif" w:hAnsi="Work Sans;sans-serif"/>
          <w:b w:val="false"/>
          <w:i/>
          <w:color w:val="000000"/>
          <w:sz w:val="18"/>
        </w:rPr>
        <w:t>basis points year-over-year</w:t>
      </w:r>
    </w:p>
    <w:p>
      <w:pPr>
        <w:pStyle w:val="TextBody"/>
        <w:bidi w:val="0"/>
        <w:spacing w:lineRule="auto" w:line="288" w:before="0" w:after="120"/>
        <w:ind w:left="0" w:right="0" w:hanging="360"/>
        <w:jc w:val="left"/>
      </w:pPr>
      <w:r>
        <w:rPr>
          <w:color w:val="000000"/>
        </w:rPr>
        <w:t>•</w:t>
      </w:r>
      <w:r>
        <w:rPr>
          <w:rFonts w:ascii="Work Sans;sans-serif" w:hAnsi="Work Sans;sans-serif"/>
          <w:b w:val="false"/>
          <w:i/>
          <w:color w:val="000000"/>
          <w:sz w:val="18"/>
        </w:rPr>
        <w:t xml:space="preserve">Adjusted EBITDA of </w:t>
      </w:r>
      <w:r>
        <w:rPr>
          <w:rFonts w:ascii="Work Sans;sans-serif" w:hAnsi="Work Sans;sans-serif"/>
          <w:b w:val="false"/>
          <w:i/>
          <w:color w:val="000000"/>
          <w:sz w:val="18"/>
          <w:shd w:fill="FFFFFF" w:val="clear"/>
        </w:rPr>
        <w:t>$50.0 million</w:t>
      </w:r>
      <w:r>
        <w:rPr>
          <w:color w:val="000000"/>
        </w:rPr>
        <w:t xml:space="preserve"> </w:t>
      </w:r>
      <w:r>
        <w:rPr>
          <w:rFonts w:ascii="Work Sans;sans-serif" w:hAnsi="Work Sans;sans-serif"/>
          <w:b w:val="false"/>
          <w:i/>
          <w:color w:val="000000"/>
          <w:sz w:val="18"/>
        </w:rPr>
        <w:t xml:space="preserve">and Adjusted EBITDA margin of </w:t>
      </w:r>
      <w:r>
        <w:rPr>
          <w:rFonts w:ascii="Work Sans;sans-serif" w:hAnsi="Work Sans;sans-serif"/>
          <w:b w:val="false"/>
          <w:color w:val="000000"/>
          <w:sz w:val="18"/>
        </w:rPr>
        <w:t xml:space="preserve">26%, </w:t>
      </w:r>
      <w:r>
        <w:rPr>
          <w:rFonts w:ascii="Work Sans;sans-serif" w:hAnsi="Work Sans;sans-serif"/>
          <w:b w:val="false"/>
          <w:i/>
          <w:color w:val="000000"/>
          <w:sz w:val="18"/>
        </w:rPr>
        <w:t xml:space="preserve">at the midpoint of the Company’s guidance range, with Adjusted EBITDA margin increasing approximately </w:t>
      </w:r>
      <w:r>
        <w:rPr>
          <w:rFonts w:ascii="Work Sans;sans-serif" w:hAnsi="Work Sans;sans-serif"/>
          <w:b w:val="false"/>
          <w:color w:val="000000"/>
          <w:sz w:val="18"/>
        </w:rPr>
        <w:t>130</w:t>
      </w:r>
      <w:r>
        <w:rPr>
          <w:color w:val="000000"/>
        </w:rPr>
        <w:t xml:space="preserve"> </w:t>
      </w:r>
      <w:r>
        <w:rPr>
          <w:rFonts w:ascii="Work Sans;sans-serif" w:hAnsi="Work Sans;sans-serif"/>
          <w:b w:val="false"/>
          <w:i/>
          <w:color w:val="000000"/>
          <w:sz w:val="18"/>
        </w:rPr>
        <w:t>basis points year-over-year</w:t>
      </w:r>
    </w:p>
    <w:p>
      <w:pPr>
        <w:pStyle w:val="TextBody"/>
        <w:bidi w:val="0"/>
        <w:spacing w:lineRule="auto" w:line="288" w:before="0" w:after="120"/>
        <w:ind w:left="0" w:right="0" w:hanging="360"/>
        <w:jc w:val="left"/>
      </w:pPr>
      <w:r>
        <w:rPr>
          <w:color w:val="000000"/>
          <w:shd w:fill="FFFFFF" w:val="clear"/>
        </w:rPr>
        <w:t>•</w:t>
      </w:r>
      <w:r>
        <w:rPr>
          <w:rFonts w:ascii="Work Sans;sans-serif" w:hAnsi="Work Sans;sans-serif"/>
          <w:b w:val="false"/>
          <w:i/>
          <w:color w:val="000000"/>
          <w:sz w:val="18"/>
        </w:rPr>
        <w:t xml:space="preserve">Completed $14.6 million of share repurchases in the quarter, with approximately $65.8 million remaining under the existing authorization as of September 30, 2026 </w:t>
      </w:r>
    </w:p>
    <w:p>
      <w:pPr>
        <w:pStyle w:val="TextBody"/>
        <w:bidi w:val="0"/>
        <w:spacing w:lineRule="auto" w:line="288" w:before="0" w:after="120"/>
        <w:ind w:left="0" w:right="0" w:hanging="360"/>
        <w:jc w:val="left"/>
      </w:pPr>
      <w:r>
        <w:rPr>
          <w:color w:val="000000"/>
        </w:rPr>
        <w:t>•</w:t>
      </w:r>
      <w:r>
        <w:rPr>
          <w:rFonts w:ascii="Work Sans;sans-serif" w:hAnsi="Work Sans;sans-serif"/>
          <w:b w:val="false"/>
          <w:i/>
          <w:color w:val="000000"/>
          <w:sz w:val="18"/>
        </w:rPr>
        <w:t xml:space="preserve">Ended the quarter with cash and cash equivalents of $181.7 million and delivered $39.9 million in cash from operating activities and $34.1 million in free cash flow with no debt outstanding as of </w:t>
      </w:r>
      <w:r>
        <w:rPr>
          <w:rFonts w:ascii="Work Sans;sans-serif" w:hAnsi="Work Sans;sans-serif"/>
          <w:b w:val="false"/>
          <w:color w:val="000000"/>
          <w:sz w:val="18"/>
        </w:rPr>
        <w:t>September 30, 2026</w:t>
      </w:r>
    </w:p>
    <w:p>
      <w:pPr>
        <w:pStyle w:val="TextBody"/>
        <w:bidi w:val="0"/>
        <w:spacing w:lineRule="auto" w:line="288" w:before="0" w:after="0"/>
        <w:ind w:left="0" w:right="0" w:hanging="360"/>
        <w:jc w:val="left"/>
      </w:pPr>
      <w:r>
        <w:rPr>
          <w:color w:val="000000"/>
        </w:rPr>
        <w:t>•</w:t>
      </w:r>
      <w:r>
        <w:rPr>
          <w:rFonts w:ascii="Work Sans;sans-serif" w:hAnsi="Work Sans;sans-serif"/>
          <w:b w:val="false"/>
          <w:i/>
          <w:color w:val="000000"/>
          <w:sz w:val="18"/>
        </w:rPr>
        <w:t>Reiterating the midpoint of full-year 2026 revenue outlook of approximately $800.0 million, or 6% year-over-year growth, and narrowing the range to $797.0–$803.0 million; updating Adjusted EBITDA outlook to a range of $180.0-$185.0 million, or Adjusted EBITDA margin of approximately 23% at the midpoint, reflecting a challenging customer acquisition environment and continued investment behind LegalZoom’s growth priorities and channel diversification</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Work Sans;sans-serif" w:hAnsi="Work Sans;sans-serif"/>
          <w:b/>
          <w:i/>
          <w:color w:val="000000"/>
          <w:sz w:val="18"/>
        </w:rPr>
        <w:t>MOUNTAIN VIEW, California – November 4, 2026</w:t>
      </w:r>
      <w:r>
        <w:rPr>
          <w:color w:val="000000"/>
        </w:rPr>
        <w:t xml:space="preserve"> – </w:t>
      </w:r>
      <w:r>
        <w:rPr>
          <w:rFonts w:ascii="Work Sans;sans-serif" w:hAnsi="Work Sans;sans-serif"/>
          <w:b w:val="false"/>
          <w:color w:val="000000"/>
          <w:sz w:val="18"/>
        </w:rPr>
        <w:t>LegalZoom (Nasdaq: LZ), America’s #1 online legal services company, today announced results for its third quarter ended September 30, 2026.</w:t>
      </w:r>
    </w:p>
    <w:p>
      <w:pPr>
        <w:pStyle w:val="TextBody"/>
        <w:bidi w:val="0"/>
        <w:spacing w:before="0" w:after="0"/>
        <w:jc w:val="left"/>
      </w:p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"Revenue from human-in-the-loop subscription services grew 17% year-over-year and now represents 49% of total revenue,” said Jeff Stibel, Chairman and Chief Executive Officer of LegalZoom. “These results give us confidence to accelerate our investment in bringing expert support into the customer relationship from the first purchase, pairing AI with accountable expertise to make our services more useful.”</w:t>
      </w:r>
    </w:p>
    <w:p>
      <w:pPr>
        <w:pStyle w:val="TextBody"/>
        <w:bidi w:val="0"/>
        <w:spacing w:before="0" w:after="0"/>
        <w:jc w:val="left"/>
      </w:pPr>
      <w:r/>
    </w:p>
    <w:p>
      <w:pPr>
        <w:pStyle w:val="TextBody"/>
        <w:bidi w:val="0"/>
        <w:spacing w:lineRule="auto" w:line="288" w:before="0" w:after="0"/>
        <w:jc w:val="left"/>
        <w:rPr>
          <w:color w:val="000000"/>
        </w:rPr>
      </w:pPr>
      <w:r>
        <w:rPr>
          <w:color w:val="000000"/>
        </w:rPr>
        <w:t>“</w:t>
      </w:r>
      <w:r>
        <w:rPr>
          <w:rFonts w:ascii="Work Sans;sans-serif" w:hAnsi="Work Sans;sans-serif"/>
          <w:b w:val="false"/>
          <w:color w:val="000000"/>
          <w:sz w:val="18"/>
        </w:rPr>
        <w:t>Subscription growth continues to offset customer acquisition pressure, supporting an unchanged $800 million midpoint for our full-year revenue outlook,” said Noel Watson, Chief Operating Officer and Chief Financial Officer. “Our updated Adjusted EBITDA outlook reflects the cost of that environment and our continued investment in channel diversification and the sales and service capabilities behind our higher-value offerings. With $181.7 million in cash and no debt, we have the financial capacity to fund these priorities.”</w:t>
      </w:r>
    </w:p>
    <w:p>
      <w:pPr>
        <w:pStyle w:val="TextBody"/>
        <w:bidi w:val="0"/>
        <w:spacing w:before="0" w:after="0"/>
        <w:jc w:val="left"/>
      </w:pPr>
      <w:r/>
    </w:p>
    <w:p>
      <w:pPr>
        <w:pStyle w:val="TextBody"/>
        <w:bidi w:val="0"/>
        <w:spacing w:before="0" w:after="0"/>
        <w:jc w:val="left"/>
      </w:pPr>
      <w:r/>
    </w:p>
    <w:p>
      <w:pPr>
        <w:pStyle w:val="TextBody"/>
        <w:bidi w:val="0"/>
        <w:spacing w:lineRule="auto" w:line="276" w:before="0" w:after="0"/>
        <w:jc w:val="left"/>
        <w:rPr>
          <w:rFonts w:ascii="Work Sans;sans-serif" w:hAnsi="Work Sans;sans-serif"/>
          <w:b/>
          <w:color w:val="000000"/>
          <w:sz w:val="18"/>
        </w:rPr>
      </w:pPr>
      <w:r>
        <w:rPr>
          <w:rFonts w:ascii="Work Sans;sans-serif" w:hAnsi="Work Sans;sans-serif"/>
          <w:b/>
          <w:color w:val="000000"/>
          <w:sz w:val="18"/>
        </w:rPr>
        <w:t>Third Quarter 2026 Highlights</w:t>
      </w:r>
    </w:p>
    <w:p>
      <w:pPr>
        <w:pStyle w:val="TextBody"/>
        <w:bidi w:val="0"/>
        <w:spacing w:before="0" w:after="0"/>
        <w:jc w:val="left"/>
      </w:pPr>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Revenue was $195.1 million for the quarter, up 3% year-over-year.</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Transaction revenue of $55.5 million</w:t>
      </w:r>
      <w:r>
        <w:rPr>
          <w:color w:val="000000"/>
        </w:rPr>
        <w:t xml:space="preserve"> </w:t>
      </w:r>
      <w:r>
        <w:rPr>
          <w:rFonts w:ascii="Work Sans;sans-serif" w:hAnsi="Work Sans;sans-serif"/>
          <w:b w:val="false"/>
          <w:color w:val="000000"/>
          <w:sz w:val="18"/>
        </w:rPr>
        <w:t xml:space="preserve">decreased 14% year-over-year. </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 xml:space="preserve">Subscription revenue of $139.7 million grew 11% year-over-year. </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Net income was $8.1 million for the quarter, or 4% of revenue, compared to a net income of $4.5 million, or 2% of revenue, in the same period in 2025.</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Adjusted EBITDA was $50.0 million for the quarter, or 26% of revenue, compared to $46.3 million, or 24% of revenue, in the same period in 2025.</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Non-GAAP net income was $31.4 million for the quarter compared to $31.0 million in the same period in 2025.</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 xml:space="preserve">Cash and cash equivalents were $181.7 million as of September 30, 2026 compared to $203.1 million as of December 31, 2025. </w:t>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Cash flows provided by operating activities were $39.9 million for the quarter ended September 30, 2026 compared to $54.2 million in the same period in 2025.</w:t>
      </w:r>
    </w:p>
    <w:p>
      <w:pPr>
        <w:pStyle w:val="TextBody"/>
        <w:bidi w:val="0"/>
        <w:spacing w:lineRule="auto" w:line="288" w:before="0" w:after="120"/>
        <w:ind w:left="0" w:right="0" w:hanging="360"/>
        <w:jc w:val="left"/>
      </w:pPr>
      <w:r>
        <w:rPr>
          <w:color w:val="000000"/>
        </w:rPr>
        <w:t>•</w:t>
      </w:r>
      <w:r>
        <w:rPr>
          <w:rFonts w:ascii="Work Sans;sans-serif" w:hAnsi="Work Sans;sans-serif"/>
          <w:b w:val="false"/>
          <w:color w:val="000000"/>
          <w:sz w:val="18"/>
        </w:rPr>
        <w:t>Free cash flow was $34.1 million for the quarter ended September 30, 2026 compared to $47.0 million in the same period in 2025.</w:t>
      </w:r>
    </w:p>
    <w:p>
      <w:pPr>
        <w:pStyle w:val="TextBody"/>
        <w:bidi w:val="0"/>
        <w:spacing w:lineRule="auto" w:line="288" w:before="0" w:after="0"/>
        <w:ind w:left="0" w:right="0" w:hanging="360"/>
        <w:jc w:val="left"/>
      </w:pPr>
      <w:r>
        <w:rPr>
          <w:color w:val="000000"/>
        </w:rPr>
        <w:t>•</w:t>
      </w:r>
      <w:r>
        <w:rPr>
          <w:rFonts w:ascii="Work Sans;sans-serif" w:hAnsi="Work Sans;sans-serif"/>
          <w:b w:val="false"/>
          <w:color w:val="000000"/>
          <w:sz w:val="18"/>
        </w:rPr>
        <w:t>Basic and diluted net income per share was $0.05 for the quarter, compared to basic and diluted net income per share of $0.03 and $0.02, respectively, for the same period in 2025. Basic and diluted Non-GAAP net income per share was $0.19 for the quarter, compared to basic and diluted Non-GAAP net income per share of $0.17 for the same period in 2025.</w:t>
      </w:r>
    </w:p>
    <w:p>
      <w:pPr>
        <w:pStyle w:val="TextBody"/>
        <w:bidi w:val="0"/>
        <w:spacing w:before="0" w:after="0"/>
        <w:jc w:val="left"/>
      </w:p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 xml:space="preserve">Key Business Metrics and Non-GAAP Financial Measures </w:t>
      </w:r>
    </w:p>
    <w:p>
      <w:pPr>
        <w:pStyle w:val="TextBody"/>
        <w:bidi w:val="0"/>
        <w:spacing w:lineRule="auto" w:line="288" w:before="120" w:after="120"/>
        <w:jc w:val="left"/>
        <w:rPr>
          <w:rFonts w:ascii="Work Sans;sans-serif" w:hAnsi="Work Sans;sans-serif"/>
          <w:b w:val="false"/>
          <w:i/>
          <w:color w:val="000000"/>
          <w:sz w:val="18"/>
        </w:rPr>
      </w:pPr>
      <w:r>
        <w:rPr>
          <w:rFonts w:ascii="Work Sans;sans-serif" w:hAnsi="Work Sans;sans-serif"/>
          <w:b w:val="false"/>
          <w:i/>
          <w:color w:val="000000"/>
          <w:sz w:val="18"/>
        </w:rPr>
        <w:t>(Unaudited, in thousands except AOV, ARPU and percentages)</w:t>
      </w:r>
    </w:p>
    <w:tbl>
      <w:tblPr>
        <w:tblW w:w="10943" w:type="dxa"/>
        <w:jc w:val="left"/>
        <w:tblInd w:w="0" w:type="dxa"/>
        <w:tblLayout w:type="fixed"/>
        <w:tblCellMar>
          <w:top w:w="28" w:type="dxa"/>
          <w:left w:w="28" w:type="dxa"/>
          <w:bottom w:w="28" w:type="dxa"/>
          <w:right w:w="28" w:type="dxa"/>
        </w:tblCellMar>
      </w:tblPr>
      <w:tblGrid>
        <w:gridCol w:w="579"/>
        <w:gridCol w:w="408"/>
        <w:gridCol w:w="274"/>
        <w:gridCol w:w="226"/>
        <w:gridCol w:w="946"/>
        <w:gridCol w:w="271"/>
        <w:gridCol w:w="109"/>
        <w:gridCol w:w="109"/>
        <w:gridCol w:w="109"/>
        <w:gridCol w:w="226"/>
        <w:gridCol w:w="946"/>
        <w:gridCol w:w="271"/>
        <w:gridCol w:w="109"/>
        <w:gridCol w:w="109"/>
        <w:gridCol w:w="109"/>
        <w:gridCol w:w="263"/>
        <w:gridCol w:w="263"/>
        <w:gridCol w:w="608"/>
        <w:gridCol w:w="109"/>
        <w:gridCol w:w="109"/>
        <w:gridCol w:w="109"/>
        <w:gridCol w:w="226"/>
        <w:gridCol w:w="946"/>
        <w:gridCol w:w="271"/>
        <w:gridCol w:w="109"/>
        <w:gridCol w:w="109"/>
        <w:gridCol w:w="109"/>
        <w:gridCol w:w="226"/>
        <w:gridCol w:w="946"/>
        <w:gridCol w:w="271"/>
        <w:gridCol w:w="109"/>
        <w:gridCol w:w="109"/>
        <w:gridCol w:w="109"/>
        <w:gridCol w:w="334"/>
        <w:gridCol w:w="334"/>
        <w:gridCol w:w="473"/>
      </w:tblGrid>
      <w:tr>
        <w:tc>
          <w:tcPr>
            <w:tcW w:w="57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Growth</w:t>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(Decline)</w:t>
            </w:r>
          </w:p>
        </w:tc>
      </w:tr>
      <w:t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Work Sans;sans-serif" w:hAnsi="Work Sans;sans-serif"/>
                <w:b/>
                <w:color w:val="000000"/>
                <w:sz w:val="18"/>
              </w:rPr>
            </w:pPr>
            <w:r>
              <w:rPr>
                <w:rFonts w:ascii="Work Sans;sans-serif" w:hAnsi="Work Sans;sans-serif"/>
                <w:b/>
                <w:color w:val="000000"/>
                <w:sz w:val="18"/>
              </w:rPr>
              <w:t>YOY</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195,146 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190,158 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607,216 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565,777 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Transaction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55,473 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64,799 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203,986 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204,263 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Subscription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139,673 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125,359 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403,230 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361,514 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138,063 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127,887 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410,246 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369,548 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4,509 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per share — basic:</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per share — diluted:</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54,226 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126,702 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144,068 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Non-GAAP Financial Measures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Non GAAP net income </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83,147 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Non GAAP net income per share — basic:</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Non GAAP net income per share — diluted:</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50,045 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46,323 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132,405 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122,300 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34,119 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46,990 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108,783 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119,924 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Key Business Metrics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Transaction units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Business formations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Average order value (AOV)</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Subscription units at period end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 (ARPU) at period end</w:t>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5935" w:type="dxa"/>
            <w:gridSpan w:val="18"/>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i/>
                <w:color w:val="000000"/>
                <w:sz w:val="16"/>
              </w:rPr>
            </w:pPr>
            <w:r>
              <w:rPr>
                <w:rFonts w:ascii="Work Sans;sans-serif" w:hAnsi="Work Sans;sans-serif"/>
                <w:b w:val="false"/>
                <w:i/>
                <w:color w:val="000000"/>
                <w:sz w:val="16"/>
              </w:rPr>
              <w:t>Certain percentages may not recalculate due to rounding.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Financial Guidance and Outlook</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For the full year ending December 31, 2026, LegalZoom is reiterating the midpoint of its revenue outlook and updating its Adjusted EBITDA outlook as follows:</w:t>
      </w:r>
    </w:p>
    <w:p>
      <w:pPr>
        <w:pStyle w:val="TextBody"/>
        <w:bidi w:val="0"/>
        <w:spacing w:lineRule="auto" w:line="288"/>
        <w:ind w:left="0" w:right="0" w:hanging="360"/>
        <w:jc w:val="left"/>
      </w:pPr>
      <w:r>
        <w:rPr>
          <w:color w:val="000000"/>
        </w:rPr>
        <w:t>•</w:t>
      </w:r>
      <w:r>
        <w:rPr>
          <w:rFonts w:ascii="Work Sans;sans-serif" w:hAnsi="Work Sans;sans-serif"/>
          <w:b w:val="false"/>
          <w:color w:val="000000"/>
          <w:sz w:val="18"/>
        </w:rPr>
        <w:t xml:space="preserve">Revenue is expected to be in the range of $797 million to $803 million, or 6% year-over-year growth at the midpoint. This compares to the Company’s previous outlook in the range of $795 million to $805 million, also approximately 6% growth at the midpoint. LegalZoom’s outlook continues to reflect the </w:t>
      </w: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 xml:space="preserve">scaling of its higher-value growth initiatives and ongoing momentum from its partner channel, partially offset by continued pressure in customer acquisition for the remainder of the year. </w:t>
      </w:r>
    </w:p>
    <w:p>
      <w:pPr>
        <w:pStyle w:val="TextBody"/>
        <w:bidi w:val="0"/>
        <w:spacing w:lineRule="auto" w:line="288" w:before="0" w:after="0"/>
        <w:ind w:left="0" w:right="0" w:hanging="360"/>
        <w:jc w:val="left"/>
      </w:pPr>
      <w:r>
        <w:rPr>
          <w:color w:val="000000"/>
        </w:rPr>
        <w:t>•</w:t>
      </w:r>
      <w:r>
        <w:rPr>
          <w:rFonts w:ascii="Work Sans;sans-serif" w:hAnsi="Work Sans;sans-serif"/>
          <w:b w:val="false"/>
          <w:color w:val="000000"/>
          <w:sz w:val="18"/>
        </w:rPr>
        <w:t>Adjusted EBITDA is expected to be in the range of $180 million to $185 million, or approximately 6% year-over-year growth and a 23% margin at the midpoint. This compares to the Company’s previous Adjusted EBITDA outlook of $190 million to $195 million, or 12% year-over-year growth, and a 24% margin at the midpoint. Compared to the previous outlook, more than half of the change reflects continued investment in channel diversification, including partnerships, affiliates and AI channels, approximately one quarter reflects higher costs in paid customer acquisition channels, and the remainder reflects investment in higher-value expert services, as well as seasonal investment in sales capabilities ahead of the first quarter peak in business formations.</w:t>
      </w:r>
    </w:p>
    <w:p>
      <w:pPr>
        <w:pStyle w:val="TextBody"/>
        <w:bidi w:val="0"/>
        <w:spacing w:before="0" w:after="0"/>
        <w:jc w:val="left"/>
      </w:p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For the fourth quarter ending December 31, 2026 LegalZoom expects: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Work Sans;sans-serif" w:hAnsi="Work Sans;sans-serif"/>
          <w:b w:val="false"/>
          <w:color w:val="000000"/>
          <w:sz w:val="18"/>
        </w:rPr>
        <w:t xml:space="preserve">Revenue in the range of $190 million to $196 million, or 1% year-over-year growth at the midpoint.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Work Sans;sans-serif" w:hAnsi="Work Sans;sans-serif"/>
          <w:b w:val="false"/>
          <w:color w:val="000000"/>
          <w:sz w:val="18"/>
        </w:rPr>
        <w:t>Adjusted EBITDA in the range of $48 million to $53 million, a 1% year-over-year growth at the midpoint, and a 26% margin.</w:t>
      </w:r>
    </w:p>
    <w:p>
      <w:pPr>
        <w:pStyle w:val="TextBody"/>
        <w:bidi w:val="0"/>
        <w:spacing w:before="0" w:after="0"/>
        <w:jc w:val="left"/>
      </w:pPr>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Webcast and Conference Call Information</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 webcast and conference call to discuss third quarter 2026 results is scheduled for today, November 4, 2026, at 4:30 p.m. Eastern time/1:30 p.m. Pacific time. Those interested in participating in the conference call are invited to register Here.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 live audio webcast of the event will be available on the LegalZoom Investor Relations website: https://investors.legalzoom.com. An archived replay of the webcast also will be available shortly after the live event.</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This press release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press release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press release include, but are not limited to, statements regarding our quarterly and annual guidance and the drivers of such guidance.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dependence on business formations; our dependence on customers expanding the use of our platform, including converting our transactional customers to subscribers and our subscribers renewing their subscriptions with us; the impact of macroeconomic challenges or uncertainty on our business; our ability to remain profitable in the future; our ability to provide high-quality products and services, customer care and customer experience; our ability to continue to innovate and provide a platform that is useful to our customers and that meets our customers’ expectations; the competitive legal solutions market; our dependence on our brand and reputation; our ability to maintain and expand strategic relationships with third parties; our ability to hire and retain top talent and motivate our employees; risks and costs associated with complex and evolving laws and regulations; our ability to maintain effective internal control over financial reporting; and any factors discussed in the section titled “Risk Factors” included in our Quarterly Report on Form 10-Q for the three months ended June 30, 2026 filed with the Securities and Exchange Commission (the “SEC”) on August 5, 2026, as well as any factors in our subsequent filings with the SEC. The forward-looking statements in this press release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You should read this press release with the understanding that our actual future results, levels of activity, performance and achievements may be materially different from what we expect. We qualify all of our forward-looking statements by these cautionary statements. Except as required by applicable law, we do not </w:t>
      </w: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plan to publicly update or revise any forward-looking statements contained in this press release, whether as a result of any new information, future events or otherwise.</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About Non-GAAP Financial Measures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This press release includes non-GAAP financial measures including Adjusted EBITDA, Adjusted EBITDA margin, Non-GAAP net income, Non-GAAP net income margin, Non-GAAP net income per share and free cash flow. We use these non-GAAP financial measures to better understand and evaluate our core operating performance. We believe that these non-GAAP financial measures provide management and our investors with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also believe that these measures provide an additional tool for investors to use in comparing our core financial performance over multiple periods with other companies in our industry. These non-GAAP measures should not be considered in isolation of, or as a substitute or an alternative to, measures prepared and presented in accordance with GAAP.</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adjusted to exclude interest expense, interest income, provision for income taxes, depreciation and amortization, other expense (income), net, stock-based compensation and certain non-recurring income and expenses from time to time. We define Adjusted EBITDA margin as Adjusted EBITDA as a percentage of revenue.</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Adjusted EBITDA is one of the primary performance measures used by our management and our board of directors to understand and evaluate our financial performance and operating trends, including period-to-period comparisons, preparing and approving our annual budget and operational planning. In assessing our performance, we exclude certain expenses that we believe are not comparable period over period or that we believe are not indicative of our underlying operating performance. There are a number of limitations related to the use of Adjusted EBITDA rather than net income, which include that Adjusted EBITDA:</w:t>
      </w:r>
    </w:p>
    <w:p>
      <w:pPr>
        <w:pStyle w:val="TextBody"/>
        <w:bidi w:val="0"/>
        <w:spacing w:lineRule="auto" w:line="288" w:before="120" w:after="283"/>
        <w:ind w:left="0" w:right="0" w:hanging="360"/>
        <w:jc w:val="left"/>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283"/>
        <w:ind w:left="0" w:right="0" w:hanging="360"/>
        <w:jc w:val="left"/>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283"/>
        <w:ind w:left="0" w:right="0" w:hanging="360"/>
        <w:jc w:val="left"/>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283"/>
        <w:ind w:left="0" w:right="0" w:hanging="360"/>
        <w:jc w:val="left"/>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283"/>
        <w:ind w:left="0" w:right="0" w:hanging="360"/>
        <w:jc w:val="left"/>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283"/>
        <w:ind w:left="0" w:right="0" w:hanging="360"/>
        <w:jc w:val="left"/>
      </w:pPr>
      <w:r>
        <w:rPr>
          <w:color w:val="000000"/>
        </w:rPr>
        <w:t>•</w:t>
      </w:r>
      <w:r>
        <w:rPr>
          <w:rFonts w:ascii="Work Sans;sans-serif" w:hAnsi="Work Sans;sans-serif"/>
          <w:b w:val="false"/>
          <w:color w:val="000000"/>
          <w:sz w:val="18"/>
        </w:rPr>
        <w:t>does not reflect certain expenses that we do not consider representative of our underlying operating performance, but that reduce cash available to us.</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We define Non-GAAP net income as net income adjusted to exclude amortization of acquired intangible assets, stock-based compensation expense and certain non-recurring income and expenses from time to time, net of related income tax impacts. We define net income margin as net income as a percentage of revenue. We define Non-GAAP net income margin as Non-GAAP net income as a percentage of revenue. We define Non-GAAP net income per share attributable to common stockholders as Non-GAAP net income divided by basic and diluted weighted-average common stock.</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Free cash flow is a liquidity measure used by management in evaluating the cash generated by our operations after purchases of property and equipment including capitalized internal-use software. We believe free cash flow provides useful information to management and investors about the amount of cash generated by our business that can be used for strategic opportunities, including investing in our business and strengthening our balance sheet, once our business needs and obligations are met.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w:t>
      </w:r>
    </w:p>
    <w:p>
      <w:pPr>
        <w:pStyle w:val="TextBody"/>
        <w:bidi w:val="0"/>
        <w:spacing w:before="0" w:after="0"/>
        <w:jc w:val="left"/>
      </w:pPr>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We are not providing a reconciliation for our non-GAAP outlook on a forward-looking basis (including the information under “Financial Guidance and Outlook” above), as we are unable to provide a meaningful calculation or estimation of reconciling items and the information is not available without unreasonable effort. This is due to the inherent difficulty of forecasting the timing or amount of various items that would impact the most directly comparable forward-looking GAAP financial measure that have not yet occurred, are out of LegalZoom’s control and/or cannot be reasonably predicted. Forward-looking non-GAAP financial measures provided without the most directly comparable GAAP financial measures may vary materially from the corresponding GAAP financial measures.</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The tables in this press release contain more details on the GAAP financial measures that are most directly comparable to non-GAAP financial measures and the related reconciliations between these financial measures.</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LegalZoom</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LegalZoom is a leading online platform for legal services, transforming how individuals and small businesses navigate the legal system. By combining intuitive technology with access to experienced attorneys, whether through our vast independent attorney network or our own law firm, we offer the tools and guidance people need to confidently manage everything from business formation and compliance to intellectual property protection and ongoing business management and legal support.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As AI reshapes how legal work gets done, LegalZoom is at the forefront of the human-in-the-loop approach, ensuring that the speed and efficiency of AI is always backed by the judgment and accountability of qualified professionals. With over two decades of experience and millions of customers served, LegalZoom helps individuals and small businesses navigate legal needs with confidence. For more information, please visit www.legalzoom.com.</w:t>
      </w:r>
    </w:p>
    <w:p>
      <w:pPr>
        <w:pStyle w:val="TextBody"/>
        <w:bidi w:val="0"/>
        <w:spacing w:lineRule="auto" w:line="288" w:before="120" w:after="120"/>
        <w:jc w:val="left"/>
        <w:rPr>
          <w:rFonts w:ascii="Work Sans;sans-serif" w:hAnsi="Work Sans;sans-serif"/>
          <w:b/>
          <w:color w:val="000000"/>
          <w:sz w:val="18"/>
        </w:rPr>
      </w:pPr>
      <w:r>
        <w:rPr>
          <w:rFonts w:ascii="Work Sans;sans-serif" w:hAnsi="Work Sans;sans-serif"/>
          <w:b/>
          <w:color w:val="000000"/>
          <w:sz w:val="18"/>
        </w:rPr>
        <w:t>Contact</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Investor Relations </w:t>
      </w:r>
    </w:p>
    <w:p>
      <w:pPr>
        <w:pStyle w:val="TextBody"/>
        <w:bidi w:val="0"/>
        <w:spacing w:lineRule="auto" w:line="288" w:before="120" w:after="120"/>
        <w:jc w:val="left"/>
        <w:rPr>
          <w:rFonts w:ascii="Work Sans;sans-serif" w:hAnsi="Work Sans;sans-serif"/>
          <w:b w:val="false"/>
          <w:color w:val="000000"/>
          <w:sz w:val="18"/>
          <w:u w:val="single"/>
        </w:rPr>
      </w:pPr>
      <w:r>
        <w:rPr>
          <w:rFonts w:ascii="Work Sans;sans-serif" w:hAnsi="Work Sans;sans-serif"/>
          <w:b w:val="false"/>
          <w:color w:val="000000"/>
          <w:sz w:val="18"/>
          <w:u w:val="single"/>
        </w:rPr>
        <w:t>investor@legalzoom.com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shd w:fill="FFFFFF" w:val="clear"/>
        </w:rPr>
      </w:pPr>
      <w:r>
        <w:rPr>
          <w:rFonts w:ascii="Work Sans;sans-serif" w:hAnsi="Work Sans;sans-serif"/>
          <w:b/>
          <w:color w:val="000000"/>
          <w:sz w:val="18"/>
          <w:shd w:fill="FFFFFF" w:val="clear"/>
        </w:rPr>
        <w:t>Unaudited Condensed Consolidated Balance Sheets</w:t>
      </w:r>
    </w:p>
    <w:p>
      <w:pPr>
        <w:pStyle w:val="TextBody"/>
        <w:bidi w:val="0"/>
        <w:spacing w:lineRule="auto" w:line="288" w:before="0" w:after="0"/>
        <w:jc w:val="center"/>
      </w:pPr>
      <w:r>
        <w:rPr>
          <w:rFonts w:ascii="Work Sans;sans-serif" w:hAnsi="Work Sans;sans-serif"/>
          <w:b w:val="false"/>
          <w:i/>
          <w:color w:val="000000"/>
          <w:sz w:val="18"/>
          <w:shd w:fill="FFFFFF" w:val="clear"/>
        </w:rPr>
        <w:t xml:space="preserve">(In </w:t>
      </w:r>
      <w:r>
        <w:rPr>
          <w:rFonts w:ascii="Work Sans;sans-serif" w:hAnsi="Work Sans;sans-serif"/>
          <w:b w:val="false"/>
          <w:i/>
          <w:color w:val="000000"/>
          <w:sz w:val="18"/>
        </w:rPr>
        <w:t>thousands, except par values)</w:t>
      </w:r>
    </w:p>
    <w:tbl>
      <w:tblPr>
        <w:tblW w:w="10205" w:type="dxa"/>
        <w:jc w:val="center"/>
        <w:tblInd w:w="0" w:type="dxa"/>
        <w:tblLayout w:type="fixed"/>
        <w:tblCellMar>
          <w:top w:w="28" w:type="dxa"/>
          <w:left w:w="28" w:type="dxa"/>
          <w:bottom w:w="28" w:type="dxa"/>
          <w:right w:w="28" w:type="dxa"/>
        </w:tblCellMar>
      </w:tblPr>
      <w:tblGrid>
        <w:gridCol w:w="3072"/>
        <w:gridCol w:w="1875"/>
        <w:gridCol w:w="1833"/>
        <w:gridCol w:w="271"/>
        <w:gridCol w:w="1137"/>
        <w:gridCol w:w="130"/>
        <w:gridCol w:w="109"/>
        <w:gridCol w:w="109"/>
        <w:gridCol w:w="109"/>
        <w:gridCol w:w="265"/>
        <w:gridCol w:w="1109"/>
        <w:gridCol w:w="186"/>
      </w:tblGrid>
      <w:tr>
        <w:tc>
          <w:tcPr>
            <w:tcW w:w="3072"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2025</w:t>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181,702 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203,100 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receivable, net of allowance</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23,860 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22,536 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18,234 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228,098 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241,923 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50,256 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140,705 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right-of-use assets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473,295 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5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36,307 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27,167 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56,979 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83,361 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219,812 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203,653 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318,138 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318,519 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10,734 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338,127 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339,640 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w:t>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September 30, 2026 and December 31, 2025, none issued or outstanding at September 30, 2026 and December 31, 2025</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shares authorized; 166,192 shares and 177,624 shares issued and outstanding at September 30, 2026 and December 31, 2025, respectively</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1,359,127 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1,305,936 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(1,224,473)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(1,134,414)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 xml:space="preserve">Total stockholders’ equity </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135,168 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171,882 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Total liabilities and stockholders’ equity</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473,295 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511,522 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1563"/>
        <w:gridCol w:w="847"/>
        <w:gridCol w:w="840"/>
        <w:gridCol w:w="109"/>
        <w:gridCol w:w="109"/>
        <w:gridCol w:w="109"/>
        <w:gridCol w:w="245"/>
        <w:gridCol w:w="1029"/>
        <w:gridCol w:w="118"/>
        <w:gridCol w:w="118"/>
        <w:gridCol w:w="118"/>
        <w:gridCol w:w="118"/>
        <w:gridCol w:w="245"/>
        <w:gridCol w:w="1029"/>
        <w:gridCol w:w="118"/>
        <w:gridCol w:w="109"/>
        <w:gridCol w:w="109"/>
        <w:gridCol w:w="109"/>
        <w:gridCol w:w="242"/>
        <w:gridCol w:w="1017"/>
        <w:gridCol w:w="117"/>
        <w:gridCol w:w="117"/>
        <w:gridCol w:w="117"/>
        <w:gridCol w:w="117"/>
        <w:gridCol w:w="242"/>
        <w:gridCol w:w="1017"/>
        <w:gridCol w:w="177"/>
      </w:tblGrid>
      <w:tr>
        <w:tc>
          <w:tcPr>
            <w:tcW w:w="156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195,146 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190,158 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607,216 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565,777 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57,083 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62,271 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196,970 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196,229 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138,063 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127,887 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410,246 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369,548 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76,909 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67,835 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234,426 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198,793 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53,949 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33,313 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34,074 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94,913 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110,291 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124,519 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121,394 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383,288 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357,189 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13,544 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26,958 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12,359 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14,863 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30,828 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18,448 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3,869 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16,480 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9,370 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attributable to common stockholders—basic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0.02 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167,185 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180,057 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172,749 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168,942 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186,731 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175,323 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185,329 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417"/>
        <w:gridCol w:w="2079"/>
        <w:gridCol w:w="2087"/>
        <w:gridCol w:w="325"/>
        <w:gridCol w:w="1112"/>
        <w:gridCol w:w="167"/>
        <w:gridCol w:w="167"/>
        <w:gridCol w:w="167"/>
        <w:gridCol w:w="167"/>
        <w:gridCol w:w="325"/>
        <w:gridCol w:w="950"/>
        <w:gridCol w:w="242"/>
      </w:tblGrid>
      <w:tr>
        <w:tc>
          <w:tcPr>
            <w:tcW w:w="2417"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c>
          <w:tcPr>
            <w:tcW w:w="6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c>
          <w:tcPr>
            <w:tcW w:w="6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operating activities</w:t>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income</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14,348 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9,370 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Adjustments to reconcile net income to net cash provided by operating activities: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Depreciation and amortization</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33,283 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33,118 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Amortization of debt issuance costs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Amortization of right-of-use assets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Stock-based compensation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63,909 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88,763 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Gain on sale of assets held for sale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(14,337)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Gain on sale of available-for-sale debt security</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(648)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Loss on disposal of property and equipment</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income taxes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10,482 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5,504 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Change in fair value of other equity security</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(302)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Unrealized foreign exchange loss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Other</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6"/>
              </w:rPr>
            </w:pPr>
            <w:r>
              <w:rPr>
                <w:rFonts w:ascii="Work Sans;sans-serif" w:hAnsi="Work Sans;sans-serif"/>
                <w:b w:val="false"/>
                <w:color w:val="000000"/>
                <w:sz w:val="16"/>
              </w:rPr>
              <w:t>Changes in operating assets and liabilities, net of effects of business combination:</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receivable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(3,273)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(11,659)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Prepaid expenses and other current assets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(4,342)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(897)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Other assets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1,003 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Accounts payable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9,928 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Accrued expenses and other liabilities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(15,107)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Operating lease liabilities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(2,869)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Income tax payable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Deferred revenue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16,092 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29,508 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provided by operating activities</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126,702 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144,068 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investing activities</w:t>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Acquisition, net of cash acquired</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(48,468)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Purchase of property and equipment</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(24,144)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sale of available-for-sale debt security</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sale of assets held for sale</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37,051 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investing activities</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(17,919)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(34,054)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flows from financing activities</w:t>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Repayment of capital lease obligations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Payment of deferred consideration from business acquisition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(12,514)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Payment of debt issuance costs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(841)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Share repurchase costs (excise tax)</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(1,264)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Repurchase of common stock</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(103,223)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(37,621)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6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Shares surrendered for settlement of minimum statutory tax withholding </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(14,841)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(19,965)</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6"/>
              </w:rPr>
            </w:pPr>
            <w:r>
              <w:rPr>
                <w:rFonts w:ascii="Work Sans;sans-serif" w:hAnsi="Work Sans;sans-serif"/>
                <w:b w:val="false"/>
                <w:color w:val="000000"/>
                <w:sz w:val="16"/>
              </w:rPr>
              <w:t>Proceeds from issuance of stock under employee stock plans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518 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44,662 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cash used in financing activities</w:t>
            </w:r>
          </w:p>
        </w:tc>
        <w:tc>
          <w:tcPr>
            <w:tcW w:w="14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(130,060)</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(15,031)</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 xml:space="preserve">Effect of exchange rate changes on cash and cash equivalents </w:t>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(121)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107 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Net (decrease) increase in cash and cash equivalents</w:t>
            </w:r>
          </w:p>
        </w:tc>
        <w:tc>
          <w:tcPr>
            <w:tcW w:w="14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(21,398)</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95,090 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6"/>
              </w:rPr>
            </w:pPr>
            <w:r>
              <w:rPr>
                <w:rFonts w:ascii="Work Sans;sans-serif" w:hAnsi="Work Sans;sans-serif"/>
                <w:b w:val="false"/>
                <w:color w:val="000000"/>
                <w:sz w:val="16"/>
              </w:rPr>
              <w:t>Cash and cash equivalents, at beginning of the period</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203,100 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142,064 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6"/>
              </w:rPr>
            </w:pPr>
            <w:r>
              <w:rPr>
                <w:rFonts w:ascii="Work Sans;sans-serif" w:hAnsi="Work Sans;sans-serif"/>
                <w:b/>
                <w:color w:val="000000"/>
                <w:sz w:val="16"/>
              </w:rPr>
              <w:t>Cash and cash equivalents, at end of the period</w:t>
            </w:r>
          </w:p>
        </w:tc>
        <w:tc>
          <w:tcPr>
            <w:tcW w:w="160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$181,702</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6"/>
              </w:rPr>
            </w:pPr>
            <w:r>
              <w:rPr>
                <w:rFonts w:ascii="Work Sans;sans-serif" w:hAnsi="Work Sans;sans-serif"/>
                <w:b w:val="false"/>
                <w:color w:val="000000"/>
                <w:sz w:val="16"/>
              </w:rPr>
              <w:t>$237,154</w:t>
            </w:r>
          </w:p>
        </w:tc>
      </w:tr>
    </w:tbl>
    <w:p>
      <w:pPr>
        <w:pStyle w:val="TextBody"/>
        <w:bidi w:val="0"/>
        <w:spacing w:lineRule="auto" w:line="288" w:before="360" w:after="283"/>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to Adjusted EBITDA for each of the periods indicated (unaudited):</w:t>
      </w:r>
    </w:p>
    <w:tbl>
      <w:tblPr>
        <w:tblW w:w="10205" w:type="dxa"/>
        <w:jc w:val="left"/>
        <w:tblInd w:w="0" w:type="dxa"/>
        <w:tblLayout w:type="fixed"/>
        <w:tblCellMar>
          <w:top w:w="28" w:type="dxa"/>
          <w:left w:w="28" w:type="dxa"/>
          <w:bottom w:w="28" w:type="dxa"/>
          <w:right w:w="28" w:type="dxa"/>
        </w:tblCellMar>
      </w:tblPr>
      <w:tblGrid>
        <w:gridCol w:w="1084"/>
        <w:gridCol w:w="887"/>
        <w:gridCol w:w="891"/>
        <w:gridCol w:w="109"/>
        <w:gridCol w:w="109"/>
        <w:gridCol w:w="109"/>
        <w:gridCol w:w="248"/>
        <w:gridCol w:w="907"/>
        <w:gridCol w:w="297"/>
        <w:gridCol w:w="119"/>
        <w:gridCol w:w="119"/>
        <w:gridCol w:w="119"/>
        <w:gridCol w:w="248"/>
        <w:gridCol w:w="907"/>
        <w:gridCol w:w="297"/>
        <w:gridCol w:w="109"/>
        <w:gridCol w:w="109"/>
        <w:gridCol w:w="109"/>
        <w:gridCol w:w="237"/>
        <w:gridCol w:w="993"/>
        <w:gridCol w:w="284"/>
        <w:gridCol w:w="114"/>
        <w:gridCol w:w="114"/>
        <w:gridCol w:w="114"/>
        <w:gridCol w:w="237"/>
        <w:gridCol w:w="993"/>
        <w:gridCol w:w="342"/>
      </w:tblGrid>
      <w:tr>
        <w:tc>
          <w:tcPr>
            <w:tcW w:w="10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6" w:type="dxa"/>
            <w:gridSpan w:val="21"/>
            <w:tcBorders/>
            <w:tcMar>
              <w:top w:w="0" w:type="dxa"/>
              <w:left w:w="0" w:type="dxa"/>
              <w:bottom w:w="0" w:type="dxa"/>
              <w:right w:w="0" w:type="dxa"/>
            </w:tcMar>
            <w:vAlign w:val="center"/>
          </w:tcPr>
          <w:p>
            <w:pPr>
              <w:pStyle w:val="TableContents"/>
              <w:bidi w:val="0"/>
              <w:spacing w:lineRule="auto" w:line="276" w:before="0" w:after="0"/>
              <w:ind w:left="0" w:right="0" w:hanging="200"/>
              <w:jc w:val="center"/>
            </w:pPr>
            <w:r>
              <w:rPr>
                <w:rFonts w:ascii="Work Sans;sans-serif" w:hAnsi="Work Sans;sans-serif"/>
                <w:b w:val="false"/>
                <w:i/>
                <w:color w:val="000000"/>
                <w:sz w:val="18"/>
              </w:rPr>
              <w:t>(in thousands, except percentages)</w:t>
            </w:r>
            <w:r>
              <w:rPr>
                <w:color w:val="000000"/>
              </w:rPr>
              <w:t xml:space="preserve"> </w:t>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Reconciliation of net income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8,061 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4,509 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14,348 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9,370 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879 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499 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(1,427)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(2,139)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(4,702)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(5,691)</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6,802 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3,869 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16,480 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9,078 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10,872 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11,373 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33,283 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33,118 </w:t>
            </w:r>
          </w:p>
        </w:tc>
        <w:tc>
          <w:tcPr>
            <w:tcW w:w="34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(47)</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(897)</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18,999 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28,369 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63,909 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88,763 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2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pPr>
            <w:r>
              <w:rPr>
                <w:rFonts w:ascii="Work Sans;sans-serif" w:hAnsi="Work Sans;sans-serif"/>
                <w:b w:val="false"/>
                <w:color w:val="000000"/>
                <w:sz w:val="18"/>
              </w:rPr>
              <w:t>Transaction-related expenses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863 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1,467 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1,543 </w:t>
            </w:r>
          </w:p>
        </w:tc>
        <w:tc>
          <w:tcPr>
            <w:tcW w:w="34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pPr>
            <w:r>
              <w:rPr>
                <w:rFonts w:ascii="Work Sans;sans-serif" w:hAnsi="Work Sans;sans-serif"/>
                <w:b w:val="false"/>
                <w:color w:val="000000"/>
                <w:sz w:val="18"/>
              </w:rPr>
              <w:t>Restructuring costs</w:t>
            </w:r>
            <w:r>
              <w:rPr>
                <w:rFonts w:ascii="Work Sans;sans-serif" w:hAnsi="Work Sans;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5,767 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6,788 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854 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2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50,045 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46,323 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132,405 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122,300 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2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3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Work Sans;sans-serif" w:hAnsi="Work Sans;sans-serif"/>
                <w:b w:val="false"/>
                <w:color w:val="000000"/>
                <w:sz w:val="18"/>
              </w:rPr>
            </w:pPr>
            <w:r>
              <w:rPr>
                <w:rFonts w:ascii="Work Sans;sans-serif" w:hAnsi="Work Sans;sans-serif"/>
                <w:b w:val="false"/>
                <w:color w:val="000000"/>
                <w:sz w:val="18"/>
              </w:rPr>
              <w:t>%</w:t>
            </w:r>
          </w:p>
        </w:tc>
      </w:tr>
      <w:tr>
        <w:tc>
          <w:tcPr>
            <w:tcW w:w="2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2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2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2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22 </w:t>
            </w:r>
          </w:p>
        </w:tc>
        <w:tc>
          <w:tcPr>
            <w:tcW w:w="3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6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 xml:space="preserve">(1)     For 2025, transaction-related expenses are primarily related to our acquisition of Formation Nation. For 2026, transaction-related expenses are related to the evaluation and pursuit of strategic transactions. </w:t>
      </w:r>
    </w:p>
    <w:p>
      <w:pPr>
        <w:pStyle w:val="TextBody"/>
        <w:bidi w:val="0"/>
        <w:spacing w:lineRule="auto" w:line="288" w:before="12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(2)    For 2026 and 2025, restructuring costs are related to the reduction of our global headcount.</w:t>
      </w:r>
    </w:p>
    <w:p>
      <w:pPr>
        <w:pStyle w:val="TextBody"/>
        <w:bidi w:val="0"/>
        <w:spacing w:lineRule="auto" w:line="288" w:before="360" w:after="283"/>
        <w:jc w:val="left"/>
        <w:rPr>
          <w:rFonts w:ascii="Work Sans;sans-serif" w:hAnsi="Work Sans;sans-serif"/>
          <w:b/>
          <w:i/>
          <w:color w:val="000000"/>
          <w:sz w:val="18"/>
        </w:rPr>
      </w:pPr>
      <w:r>
        <w:rPr>
          <w:rFonts w:ascii="Work Sans;sans-serif" w:hAnsi="Work Sans;sans-serif"/>
          <w:b/>
          <w:i/>
          <w:color w:val="000000"/>
          <w:sz w:val="18"/>
        </w:rPr>
        <w:t>Non-GAAP Net Income, Non-GAAP Net Income Margin and diluted Non-GAAP Net Income Per Share</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to Non-GAAP net income for each of the periods indicated (unaudited):</w:t>
      </w:r>
    </w:p>
    <w:tbl>
      <w:tblPr>
        <w:tblW w:w="10205" w:type="dxa"/>
        <w:jc w:val="left"/>
        <w:tblInd w:w="0" w:type="dxa"/>
        <w:tblLayout w:type="fixed"/>
        <w:tblCellMar>
          <w:top w:w="28" w:type="dxa"/>
          <w:left w:w="28" w:type="dxa"/>
          <w:bottom w:w="28" w:type="dxa"/>
          <w:right w:w="28" w:type="dxa"/>
        </w:tblCellMar>
      </w:tblPr>
      <w:tblGrid>
        <w:gridCol w:w="1265"/>
        <w:gridCol w:w="1112"/>
        <w:gridCol w:w="1116"/>
        <w:gridCol w:w="109"/>
        <w:gridCol w:w="109"/>
        <w:gridCol w:w="109"/>
        <w:gridCol w:w="259"/>
        <w:gridCol w:w="781"/>
        <w:gridCol w:w="299"/>
        <w:gridCol w:w="120"/>
        <w:gridCol w:w="120"/>
        <w:gridCol w:w="120"/>
        <w:gridCol w:w="259"/>
        <w:gridCol w:w="781"/>
        <w:gridCol w:w="299"/>
        <w:gridCol w:w="109"/>
        <w:gridCol w:w="109"/>
        <w:gridCol w:w="109"/>
        <w:gridCol w:w="243"/>
        <w:gridCol w:w="890"/>
        <w:gridCol w:w="291"/>
        <w:gridCol w:w="117"/>
        <w:gridCol w:w="117"/>
        <w:gridCol w:w="117"/>
        <w:gridCol w:w="253"/>
        <w:gridCol w:w="760"/>
        <w:gridCol w:w="232"/>
      </w:tblGrid>
      <w:t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5"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to 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8,061 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4,509 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14,348 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9,370 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1,610 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2,163 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4,830 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6,191 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18,999 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28,369 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63,909 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88,763 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c>
          <w:tcPr>
            <w:tcW w:w="3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pPr>
            <w:r>
              <w:rPr>
                <w:rFonts w:ascii="Work Sans;sans-serif" w:hAnsi="Work Sans;sans-serif"/>
                <w:b w:val="false"/>
                <w:color w:val="000000"/>
                <w:sz w:val="18"/>
              </w:rPr>
              <w:t>Transaction-related expenses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863 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1,467 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1,543 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pPr>
            <w:r>
              <w:rPr>
                <w:rFonts w:ascii="Work Sans;sans-serif" w:hAnsi="Work Sans;sans-serif"/>
                <w:b w:val="false"/>
                <w:color w:val="000000"/>
                <w:sz w:val="18"/>
              </w:rPr>
              <w:t>Restructuring costs</w:t>
            </w:r>
            <w:r>
              <w:rPr>
                <w:rFonts w:ascii="Work Sans;sans-serif" w:hAnsi="Work Sans;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5,767 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6,788 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c>
          <w:tcPr>
            <w:tcW w:w="3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c>
          <w:tcPr>
            <w:tcW w:w="3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ind w:left="0" w:right="0" w:hanging="200"/>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Gain on sale of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(14,337)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pPr>
            <w:r>
              <w:rPr>
                <w:rFonts w:ascii="Work Sans;sans-serif" w:hAnsi="Work Sans;sans-serif"/>
                <w:b w:val="false"/>
                <w:color w:val="000000"/>
                <w:sz w:val="18"/>
              </w:rPr>
              <w:t>Income tax effects</w:t>
            </w:r>
            <w:r>
              <w:rPr>
                <w:rFonts w:ascii="Work Sans;sans-serif" w:hAnsi="Work Sans;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(3,857)</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(4,133)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(10,385)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(9,237)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31,443 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30,996 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80,957 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83,147 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80"/>
              <w:jc w:val="left"/>
              <w:rPr>
                <w:rFonts w:ascii="Work Sans;sans-serif" w:hAnsi="Work Sans;sans-serif"/>
                <w:b w:val="false"/>
                <w:color w:val="000000"/>
                <w:sz w:val="18"/>
              </w:rPr>
            </w:pPr>
            <w:r>
              <w:rPr>
                <w:rFonts w:ascii="Work Sans;sans-serif" w:hAnsi="Work Sans;sans-serif"/>
                <w:b w:val="false"/>
                <w:color w:val="000000"/>
                <w:sz w:val="18"/>
              </w:rPr>
              <w:t>%</w:t>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13 </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80"/>
              <w:jc w:val="left"/>
              <w:rPr>
                <w:rFonts w:ascii="Work Sans;sans-serif" w:hAnsi="Work Sans;sans-serif"/>
                <w:b w:val="false"/>
                <w:color w:val="000000"/>
                <w:sz w:val="18"/>
              </w:rPr>
            </w:pPr>
            <w:r>
              <w:rPr>
                <w:rFonts w:ascii="Work Sans;sans-serif" w:hAnsi="Work Sans;sans-serif"/>
                <w:b w:val="false"/>
                <w:color w:val="000000"/>
                <w:sz w:val="18"/>
              </w:rPr>
              <w:t>%</w:t>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0.02 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0.08 </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0.05 </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0.47 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0.46 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0.46 </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0.45 </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167,185 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180,057 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172,749 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179,231 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168,942 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186,731 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175,323 </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185,329 </w:t>
            </w:r>
          </w:p>
        </w:tc>
        <w:tc>
          <w:tcPr>
            <w:tcW w:w="2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167,185 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180,057 </w:t>
            </w:r>
          </w:p>
        </w:tc>
        <w:tc>
          <w:tcPr>
            <w:tcW w:w="2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172,749 </w:t>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179,231 </w:t>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168,942 </w:t>
            </w:r>
          </w:p>
        </w:tc>
        <w:tc>
          <w:tcPr>
            <w:tcW w:w="2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186,731 </w:t>
            </w:r>
          </w:p>
        </w:tc>
        <w:tc>
          <w:tcPr>
            <w:tcW w:w="2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175,323 </w:t>
            </w:r>
          </w:p>
        </w:tc>
        <w:tc>
          <w:tcPr>
            <w:tcW w:w="2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185,329 </w:t>
            </w:r>
          </w:p>
        </w:tc>
        <w:tc>
          <w:tcPr>
            <w:tcW w:w="2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Work Sans;sans-serif" w:hAnsi="Work Sans;sans-serif"/>
          <w:b w:val="false"/>
          <w:color w:val="000000"/>
          <w:sz w:val="18"/>
        </w:rPr>
      </w:pPr>
      <w:r>
        <w:rPr>
          <w:rFonts w:ascii="Work Sans;sans-serif" w:hAnsi="Work Sans;sans-serif"/>
          <w:b w:val="false"/>
          <w:color w:val="000000"/>
          <w:sz w:val="18"/>
        </w:rPr>
        <w:t>(1)For 2025, transaction-related expenses are primarily related to our acquisition of Formation Nation. For 2026, transaction-related expenses are related to the evaluation and pursuit of strategic transactions.</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(2)For 2026 and 2025, restructuring costs are related to the reduction of our global headcount.</w:t>
      </w:r>
    </w:p>
    <w:p>
      <w:pPr>
        <w:pStyle w:val="TextBody"/>
        <w:bidi w:val="0"/>
        <w:spacing w:lineRule="auto" w:line="288" w:before="60" w:after="283"/>
        <w:ind w:left="0" w:right="0" w:hanging="360"/>
        <w:jc w:val="left"/>
        <w:rPr>
          <w:rFonts w:ascii="Work Sans;sans-serif" w:hAnsi="Work Sans;sans-serif"/>
          <w:b w:val="false"/>
          <w:color w:val="000000"/>
          <w:sz w:val="18"/>
        </w:rPr>
      </w:pPr>
      <w:r>
        <w:rPr>
          <w:rFonts w:ascii="Work Sans;sans-serif" w:hAnsi="Work Sans;sans-serif"/>
          <w:b w:val="false"/>
          <w:color w:val="000000"/>
          <w:sz w:val="18"/>
        </w:rPr>
        <w:t xml:space="preserve">(3)The estimated income tax effect of the non-GAAP pre-tax adjustments is determined by applying the statutory rate of the originating jurisdiction, if applicable. </w:t>
      </w:r>
    </w:p>
    <w:p>
      <w:pPr>
        <w:pStyle w:val="TextBody"/>
        <w:bidi w:val="0"/>
        <w:spacing w:before="0" w:after="0"/>
        <w:ind w:left="0" w:right="0" w:hanging="180"/>
        <w:jc w:val="left"/>
      </w:pPr>
      <w:r/>
    </w:p>
    <w:p>
      <w:pPr>
        <w:pStyle w:val="TextBody"/>
        <w:bidi w:val="0"/>
        <w:spacing w:before="0" w:after="0"/>
        <w:ind w:left="0" w:right="0" w:hanging="180"/>
        <w:jc w:val="left"/>
      </w:pPr>
      <w:r/>
    </w:p>
    <w:p>
      <w:pPr>
        <w:pStyle w:val="TextBody"/>
        <w:bidi w:val="0"/>
        <w:spacing w:lineRule="auto" w:line="288" w:before="4700" w:after="283"/>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Non-GAAP net income per share (unaudited):</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028"/>
        <w:gridCol w:w="878"/>
        <w:gridCol w:w="881"/>
        <w:gridCol w:w="109"/>
        <w:gridCol w:w="109"/>
        <w:gridCol w:w="109"/>
        <w:gridCol w:w="244"/>
        <w:gridCol w:w="895"/>
        <w:gridCol w:w="118"/>
        <w:gridCol w:w="118"/>
        <w:gridCol w:w="118"/>
        <w:gridCol w:w="118"/>
        <w:gridCol w:w="244"/>
        <w:gridCol w:w="895"/>
        <w:gridCol w:w="118"/>
        <w:gridCol w:w="109"/>
        <w:gridCol w:w="109"/>
        <w:gridCol w:w="109"/>
        <w:gridCol w:w="242"/>
        <w:gridCol w:w="886"/>
        <w:gridCol w:w="116"/>
        <w:gridCol w:w="116"/>
        <w:gridCol w:w="116"/>
        <w:gridCol w:w="116"/>
        <w:gridCol w:w="242"/>
        <w:gridCol w:w="886"/>
        <w:gridCol w:w="176"/>
      </w:tblGrid>
      <w:tr>
        <w:tc>
          <w:tcPr>
            <w:tcW w:w="202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Non-GAAP net income and 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31,443 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30,996 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80,957 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83,147 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Reconciliation of denominator for net income per share to Non-GAAP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180,057 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172,749 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179,231 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RSUs and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6,009 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168,942 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186,731 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175,323 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185,329 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0.46 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0.19 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0.17 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0.46 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0.45 </w:t>
            </w:r>
          </w:p>
        </w:tc>
        <w:tc>
          <w:tcPr>
            <w:tcW w:w="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120" w:after="283"/>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to free cash flow (unaudited):</w:t>
      </w:r>
    </w:p>
    <w:tbl>
      <w:tblPr>
        <w:tblW w:w="10205" w:type="dxa"/>
        <w:jc w:val="left"/>
        <w:tblInd w:w="0" w:type="dxa"/>
        <w:tblLayout w:type="fixed"/>
        <w:tblCellMar>
          <w:top w:w="28" w:type="dxa"/>
          <w:left w:w="28" w:type="dxa"/>
          <w:bottom w:w="28" w:type="dxa"/>
          <w:right w:w="28" w:type="dxa"/>
        </w:tblCellMar>
      </w:tblPr>
      <w:tblGrid>
        <w:gridCol w:w="1236"/>
        <w:gridCol w:w="1086"/>
        <w:gridCol w:w="1090"/>
        <w:gridCol w:w="109"/>
        <w:gridCol w:w="109"/>
        <w:gridCol w:w="109"/>
        <w:gridCol w:w="253"/>
        <w:gridCol w:w="928"/>
        <w:gridCol w:w="122"/>
        <w:gridCol w:w="122"/>
        <w:gridCol w:w="122"/>
        <w:gridCol w:w="122"/>
        <w:gridCol w:w="253"/>
        <w:gridCol w:w="928"/>
        <w:gridCol w:w="122"/>
        <w:gridCol w:w="109"/>
        <w:gridCol w:w="109"/>
        <w:gridCol w:w="109"/>
        <w:gridCol w:w="243"/>
        <w:gridCol w:w="1018"/>
        <w:gridCol w:w="117"/>
        <w:gridCol w:w="117"/>
        <w:gridCol w:w="117"/>
        <w:gridCol w:w="117"/>
        <w:gridCol w:w="243"/>
        <w:gridCol w:w="1018"/>
        <w:gridCol w:w="177"/>
      </w:tblGrid>
      <w:tr>
        <w:tc>
          <w:tcPr>
            <w:tcW w:w="123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Nine Months Ended September 30,</w:t>
            </w:r>
          </w:p>
        </w:tc>
      </w:tr>
      <w:t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2025</w:t>
            </w:r>
          </w:p>
        </w:tc>
      </w:tr>
      <w:t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6"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c>
          <w:tcPr>
            <w:tcW w:w="34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color w:val="000000"/>
                <w:sz w:val="18"/>
              </w:rPr>
            </w:pPr>
            <w:r>
              <w:rPr>
                <w:rFonts w:ascii="Work Sans;sans-serif" w:hAnsi="Work Sans;sans-serif"/>
                <w:b/>
                <w:color w:val="000000"/>
                <w:sz w:val="18"/>
              </w:rPr>
              <w:t>Reconciliation of Net Cash Provided by Operating Activities to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3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39,873 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54,226 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126,702 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144,068 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3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(7,236)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(24,144)</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c>
          <w:tcPr>
            <w:tcW w:w="3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34,119 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46,990 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108,783 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119,924 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4866</Words>
  <Characters>27084</Characters>
  <CharactersWithSpaces>31376</CharactersWithSpaces>
  <Paragraphs>1081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